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0DD9213"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0A7803">
        <w:t>102</w:t>
      </w:r>
      <w:r w:rsidRPr="00CE0424">
        <w:tab/>
      </w:r>
      <w:r w:rsidRPr="00CE0424">
        <w:rPr>
          <w:sz w:val="32"/>
          <w:szCs w:val="32"/>
        </w:rPr>
        <w:t xml:space="preserve">Tdoc </w:t>
      </w:r>
      <w:r w:rsidR="00091557" w:rsidRPr="00CE0424">
        <w:rPr>
          <w:sz w:val="32"/>
          <w:szCs w:val="32"/>
        </w:rPr>
        <w:t>R</w:t>
      </w:r>
      <w:r w:rsidR="00304FC4">
        <w:rPr>
          <w:sz w:val="32"/>
          <w:szCs w:val="32"/>
        </w:rPr>
        <w:t>P</w:t>
      </w:r>
      <w:r w:rsidR="00091557" w:rsidRPr="00CE0424">
        <w:rPr>
          <w:sz w:val="32"/>
          <w:szCs w:val="32"/>
        </w:rPr>
        <w:t>-</w:t>
      </w:r>
      <w:r w:rsidR="00F2020F">
        <w:rPr>
          <w:sz w:val="32"/>
          <w:szCs w:val="32"/>
        </w:rPr>
        <w:t>2</w:t>
      </w:r>
      <w:r w:rsidR="00F2020F" w:rsidRPr="00F2020F">
        <w:rPr>
          <w:sz w:val="32"/>
          <w:szCs w:val="32"/>
        </w:rPr>
        <w:t>3</w:t>
      </w:r>
      <w:r w:rsidR="00F2020F" w:rsidRPr="005B4630">
        <w:rPr>
          <w:sz w:val="32"/>
          <w:szCs w:val="32"/>
        </w:rPr>
        <w:t>2748</w:t>
      </w:r>
    </w:p>
    <w:p w14:paraId="0CE7B7E6" w14:textId="3121666B" w:rsidR="00E90E49" w:rsidRPr="00CE0424" w:rsidRDefault="000A7803" w:rsidP="00311702">
      <w:pPr>
        <w:pStyle w:val="3GPPHeader"/>
      </w:pPr>
      <w:r w:rsidRPr="000A7803">
        <w:t>Edinburgh</w:t>
      </w:r>
      <w:r w:rsidR="0027144F" w:rsidRPr="000A7803">
        <w:t xml:space="preserve">, </w:t>
      </w:r>
      <w:r w:rsidRPr="00F2020F">
        <w:t>Scotland,</w:t>
      </w:r>
      <w:r w:rsidR="0027144F" w:rsidRPr="00F2020F">
        <w:t xml:space="preserve"> </w:t>
      </w:r>
      <w:r w:rsidR="00F2020F" w:rsidRPr="005B4630">
        <w:t>11</w:t>
      </w:r>
      <w:r w:rsidR="001D53E7" w:rsidRPr="005B4630">
        <w:t xml:space="preserve">th – </w:t>
      </w:r>
      <w:r w:rsidR="00F2020F" w:rsidRPr="005B4630">
        <w:t>15</w:t>
      </w:r>
      <w:r w:rsidR="001D53E7" w:rsidRPr="005B4630">
        <w:t>th</w:t>
      </w:r>
      <w:r w:rsidR="00C37CB2" w:rsidRPr="005B4630">
        <w:t xml:space="preserve"> </w:t>
      </w:r>
      <w:proofErr w:type="gramStart"/>
      <w:r w:rsidR="00F2020F" w:rsidRPr="005B4630">
        <w:t>December,</w:t>
      </w:r>
      <w:proofErr w:type="gramEnd"/>
      <w:r w:rsidR="00F2020F" w:rsidRPr="005B4630">
        <w:t xml:space="preserve"> </w:t>
      </w:r>
      <w:r w:rsidR="0027144F" w:rsidRPr="005B4630">
        <w:t>20</w:t>
      </w:r>
      <w:r w:rsidR="00304FC4" w:rsidRPr="005B4630">
        <w:t>23</w:t>
      </w:r>
    </w:p>
    <w:p w14:paraId="3086AC07" w14:textId="77777777" w:rsidR="00E90E49" w:rsidRPr="00CE0424" w:rsidRDefault="00E90E49" w:rsidP="00357380">
      <w:pPr>
        <w:pStyle w:val="3GPPHeader"/>
      </w:pPr>
    </w:p>
    <w:p w14:paraId="3982483C" w14:textId="2F217F26" w:rsidR="00E90E49" w:rsidRPr="00407A6A" w:rsidRDefault="00E90E49" w:rsidP="00311702">
      <w:pPr>
        <w:pStyle w:val="3GPPHeader"/>
        <w:rPr>
          <w:sz w:val="22"/>
        </w:rPr>
      </w:pPr>
      <w:r w:rsidRPr="00407A6A">
        <w:rPr>
          <w:sz w:val="22"/>
        </w:rPr>
        <w:t>Agenda Item:</w:t>
      </w:r>
      <w:r w:rsidRPr="00407A6A">
        <w:rPr>
          <w:sz w:val="22"/>
        </w:rPr>
        <w:tab/>
      </w:r>
      <w:r w:rsidR="00407A6A" w:rsidRPr="00407A6A">
        <w:rPr>
          <w:sz w:val="22"/>
        </w:rPr>
        <w:t>9</w:t>
      </w:r>
      <w:r w:rsidR="00407A6A">
        <w:rPr>
          <w:sz w:val="22"/>
        </w:rPr>
        <w:t>.1.1.</w:t>
      </w:r>
      <w:r w:rsidR="00291DE8">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8A98A7C" w:rsidR="00E90E49" w:rsidRPr="00CE0424" w:rsidRDefault="003D3C45" w:rsidP="00311702">
      <w:pPr>
        <w:pStyle w:val="3GPPHeader"/>
        <w:rPr>
          <w:sz w:val="22"/>
        </w:rPr>
      </w:pPr>
      <w:r>
        <w:rPr>
          <w:sz w:val="22"/>
        </w:rPr>
        <w:t>Title:</w:t>
      </w:r>
      <w:r w:rsidR="00E90E49" w:rsidRPr="00CE0424">
        <w:rPr>
          <w:sz w:val="22"/>
        </w:rPr>
        <w:tab/>
      </w:r>
      <w:r w:rsidR="00DE430A">
        <w:rPr>
          <w:sz w:val="22"/>
        </w:rPr>
        <w:t>On MIMO evolution</w:t>
      </w:r>
    </w:p>
    <w:p w14:paraId="2D5672ED" w14:textId="556DCF19" w:rsidR="00E90E49" w:rsidRPr="009C2280" w:rsidRDefault="00E90E49" w:rsidP="009C2280">
      <w:pPr>
        <w:pStyle w:val="3GPPHeader"/>
        <w:rPr>
          <w:sz w:val="22"/>
        </w:rPr>
      </w:pPr>
      <w:r w:rsidRPr="00CE0424">
        <w:rPr>
          <w:sz w:val="22"/>
        </w:rPr>
        <w:t>Document for:</w:t>
      </w:r>
      <w:r w:rsidRPr="00CE0424">
        <w:rPr>
          <w:sz w:val="22"/>
        </w:rPr>
        <w:tab/>
      </w:r>
      <w:r w:rsidRPr="00407A6A">
        <w:rPr>
          <w:sz w:val="22"/>
        </w:rPr>
        <w:t>Discussion, Decision</w:t>
      </w:r>
    </w:p>
    <w:p w14:paraId="61B97B68" w14:textId="5C34C94A" w:rsidR="00CC1EEB" w:rsidRDefault="00230D18" w:rsidP="002E04F9">
      <w:pPr>
        <w:pStyle w:val="Heading1"/>
      </w:pPr>
      <w:r>
        <w:t>1</w:t>
      </w:r>
      <w:r>
        <w:tab/>
      </w:r>
      <w:r w:rsidR="00C12D3C">
        <w:t>Rel.19 WI proposal</w:t>
      </w:r>
    </w:p>
    <w:p w14:paraId="7C3B22E3" w14:textId="2B69F974" w:rsidR="00C12D3C" w:rsidRDefault="00C12D3C" w:rsidP="00F2020F">
      <w:pPr>
        <w:rPr>
          <w:lang w:val="en-GB" w:eastAsia="ja-JP"/>
        </w:rPr>
      </w:pPr>
      <w:r>
        <w:rPr>
          <w:lang w:val="en-GB" w:eastAsia="ja-JP"/>
        </w:rPr>
        <w:t xml:space="preserve">Based on discussions </w:t>
      </w:r>
      <w:r w:rsidR="005B07B5">
        <w:rPr>
          <w:lang w:val="en-GB" w:eastAsia="ja-JP"/>
        </w:rPr>
        <w:t xml:space="preserve">with other companies </w:t>
      </w:r>
      <w:r w:rsidR="007463AE">
        <w:rPr>
          <w:lang w:val="en-GB" w:eastAsia="ja-JP"/>
        </w:rPr>
        <w:fldChar w:fldCharType="begin"/>
      </w:r>
      <w:r w:rsidR="007463AE">
        <w:rPr>
          <w:lang w:val="en-GB" w:eastAsia="ja-JP"/>
        </w:rPr>
        <w:instrText xml:space="preserve"> REF _Ref152572732 \r \h </w:instrText>
      </w:r>
      <w:r w:rsidR="007463AE">
        <w:rPr>
          <w:lang w:val="en-GB" w:eastAsia="ja-JP"/>
        </w:rPr>
      </w:r>
      <w:r w:rsidR="007463AE">
        <w:rPr>
          <w:lang w:val="en-GB" w:eastAsia="ja-JP"/>
        </w:rPr>
        <w:fldChar w:fldCharType="separate"/>
      </w:r>
      <w:r w:rsidR="007463AE">
        <w:rPr>
          <w:lang w:val="en-GB" w:eastAsia="ja-JP"/>
        </w:rPr>
        <w:t>[2]</w:t>
      </w:r>
      <w:r w:rsidR="007463AE">
        <w:rPr>
          <w:lang w:val="en-GB" w:eastAsia="ja-JP"/>
        </w:rPr>
        <w:fldChar w:fldCharType="end"/>
      </w:r>
      <w:r w:rsidR="005B07B5">
        <w:rPr>
          <w:lang w:val="en-GB" w:eastAsia="ja-JP"/>
        </w:rPr>
        <w:t xml:space="preserve"> we have arrived at proposing the following scope for the Rel.19 WI on MIMO</w:t>
      </w:r>
      <w:r w:rsidR="00E85E60">
        <w:rPr>
          <w:lang w:val="en-GB" w:eastAsia="ja-JP"/>
        </w:rPr>
        <w:t xml:space="preserve"> which has been </w:t>
      </w:r>
      <w:r w:rsidR="0092657C">
        <w:rPr>
          <w:lang w:val="en-GB" w:eastAsia="ja-JP"/>
        </w:rPr>
        <w:t xml:space="preserve">slimmed down in scope to meet the suggested TU budget. This is a significant reduction of MIMO </w:t>
      </w:r>
      <w:r w:rsidR="00307904">
        <w:rPr>
          <w:lang w:val="en-GB" w:eastAsia="ja-JP"/>
        </w:rPr>
        <w:t>WI scope in Rel.19 compared to previous releases</w:t>
      </w:r>
      <w:r w:rsidR="00344757">
        <w:rPr>
          <w:lang w:val="en-GB" w:eastAsia="ja-JP"/>
        </w:rPr>
        <w:t>.</w:t>
      </w:r>
      <w:r w:rsidR="009F36E8">
        <w:rPr>
          <w:lang w:val="en-GB" w:eastAsia="ja-JP"/>
        </w:rPr>
        <w:t xml:space="preserve"> In summary, the following objectives are proposed:</w:t>
      </w:r>
    </w:p>
    <w:p w14:paraId="50F00ACF" w14:textId="77777777" w:rsidR="005F4DB9" w:rsidRPr="00583307" w:rsidRDefault="005F4DB9" w:rsidP="005F4DB9">
      <w:pPr>
        <w:numPr>
          <w:ilvl w:val="0"/>
          <w:numId w:val="44"/>
        </w:numPr>
        <w:snapToGrid w:val="0"/>
        <w:spacing w:after="0" w:line="240" w:lineRule="auto"/>
      </w:pPr>
      <w:bookmarkStart w:id="0" w:name="_Hlk145555364"/>
      <w:bookmarkStart w:id="1" w:name="_Hlk146642115"/>
      <w:r w:rsidRPr="00583307">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t>sTRP</w:t>
      </w:r>
      <w:proofErr w:type="spellEnd"/>
      <w:r>
        <w:t xml:space="preserve"> with </w:t>
      </w:r>
      <w:r w:rsidRPr="00583307">
        <w:t>intra-</w:t>
      </w:r>
      <w:r>
        <w:t xml:space="preserve"> and </w:t>
      </w:r>
      <w:r w:rsidRPr="00583307">
        <w:t xml:space="preserve">inter-cell </w:t>
      </w:r>
      <w:r>
        <w:t>beam management</w:t>
      </w:r>
    </w:p>
    <w:p w14:paraId="23DB7859" w14:textId="77777777" w:rsidR="005F4DB9" w:rsidRPr="00583307" w:rsidRDefault="005F4DB9" w:rsidP="005F4DB9">
      <w:pPr>
        <w:numPr>
          <w:ilvl w:val="1"/>
          <w:numId w:val="44"/>
        </w:numPr>
        <w:snapToGrid w:val="0"/>
        <w:spacing w:after="0" w:line="240" w:lineRule="auto"/>
      </w:pPr>
      <w:r w:rsidRPr="00583307">
        <w:t xml:space="preserve">UL signaling content(s) for UE-initiated/event-driven beam reporting facilitating fast beam </w:t>
      </w:r>
      <w:proofErr w:type="gramStart"/>
      <w:r w:rsidRPr="00583307">
        <w:t>switching</w:t>
      </w:r>
      <w:proofErr w:type="gramEnd"/>
      <w:r w:rsidRPr="00583307">
        <w:t xml:space="preserve"> </w:t>
      </w:r>
    </w:p>
    <w:p w14:paraId="35A4BD4F" w14:textId="77777777" w:rsidR="005F4DB9" w:rsidRPr="00583307" w:rsidRDefault="005F4DB9" w:rsidP="005F4DB9">
      <w:pPr>
        <w:numPr>
          <w:ilvl w:val="1"/>
          <w:numId w:val="44"/>
        </w:numPr>
        <w:snapToGrid w:val="0"/>
        <w:spacing w:after="0" w:line="240" w:lineRule="auto"/>
      </w:pPr>
      <w:r w:rsidRPr="00583307">
        <w:t xml:space="preserve">UL signaling medium/container considering the UE-initiated/event-driven nature of the UL transmission, designed primarily for the purpose of beam </w:t>
      </w:r>
      <w:proofErr w:type="gramStart"/>
      <w:r w:rsidRPr="00583307">
        <w:t>reporting</w:t>
      </w:r>
      <w:proofErr w:type="gramEnd"/>
    </w:p>
    <w:p w14:paraId="0BFF4469" w14:textId="77777777" w:rsidR="005F4DB9" w:rsidRPr="00583307" w:rsidRDefault="005F4DB9" w:rsidP="005F4DB9">
      <w:pPr>
        <w:snapToGrid w:val="0"/>
      </w:pPr>
    </w:p>
    <w:p w14:paraId="5AF03946" w14:textId="77777777" w:rsidR="005F4DB9" w:rsidRPr="00583307" w:rsidRDefault="005F4DB9" w:rsidP="005F4DB9">
      <w:pPr>
        <w:numPr>
          <w:ilvl w:val="0"/>
          <w:numId w:val="45"/>
        </w:numPr>
        <w:tabs>
          <w:tab w:val="left" w:pos="720"/>
        </w:tabs>
        <w:snapToGrid w:val="0"/>
        <w:spacing w:after="0" w:line="240" w:lineRule="auto"/>
      </w:pPr>
      <w:r w:rsidRPr="00583307">
        <w:t xml:space="preserve">Specify CSI support for up to 128 CSI-RS ports, targeting </w:t>
      </w:r>
      <w:proofErr w:type="gramStart"/>
      <w:r w:rsidRPr="00583307">
        <w:t>FR1</w:t>
      </w:r>
      <w:proofErr w:type="gramEnd"/>
    </w:p>
    <w:p w14:paraId="4CD2170F" w14:textId="77777777" w:rsidR="005F4DB9" w:rsidRPr="00583307" w:rsidRDefault="005F4DB9" w:rsidP="005F4DB9">
      <w:pPr>
        <w:numPr>
          <w:ilvl w:val="1"/>
          <w:numId w:val="45"/>
        </w:numPr>
        <w:snapToGrid w:val="0"/>
        <w:spacing w:after="0" w:line="240" w:lineRule="auto"/>
      </w:pPr>
      <w:r w:rsidRPr="00583307">
        <w:t xml:space="preserve">Type-I codebook refinement supporting up to a total of 128 CSI-RS ports across all resources, assuming legacy CSI-RS resources (with up to 32 CSI-RS ports per resource), based on extension of legacy </w:t>
      </w:r>
      <w:proofErr w:type="gramStart"/>
      <w:r w:rsidRPr="00583307">
        <w:t>codebooks</w:t>
      </w:r>
      <w:proofErr w:type="gramEnd"/>
    </w:p>
    <w:p w14:paraId="32CB721E" w14:textId="77777777" w:rsidR="005F4DB9" w:rsidRPr="00583307" w:rsidRDefault="005F4DB9" w:rsidP="005F4DB9">
      <w:pPr>
        <w:numPr>
          <w:ilvl w:val="1"/>
          <w:numId w:val="45"/>
        </w:numPr>
        <w:snapToGrid w:val="0"/>
        <w:spacing w:after="0" w:line="240" w:lineRule="auto"/>
      </w:pPr>
      <w:r w:rsidRPr="00583307">
        <w:t xml:space="preserve">Type-II codebook refinement supporting up to a total of 128 CSI-RS ports across all resources, assuming legacy CSI-RS resources (with up to 32 CSI-RS ports per resource), based on extension of legacy codebooks, </w:t>
      </w:r>
      <w:r w:rsidRPr="0086401A">
        <w:t>without modifying any codebook parameter other than introducing additional values for the number of p</w:t>
      </w:r>
      <w:r w:rsidRPr="00583307">
        <w:t>orts codebook parameter(s)</w:t>
      </w:r>
    </w:p>
    <w:p w14:paraId="41E5B04E" w14:textId="77777777" w:rsidR="005F4DB9" w:rsidRPr="00583307" w:rsidRDefault="005F4DB9" w:rsidP="005F4DB9">
      <w:pPr>
        <w:numPr>
          <w:ilvl w:val="1"/>
          <w:numId w:val="45"/>
        </w:numPr>
        <w:snapToGrid w:val="0"/>
        <w:spacing w:after="0" w:line="240" w:lineRule="auto"/>
      </w:pPr>
      <w:r w:rsidRPr="00583307">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583307">
        <w:t>design</w:t>
      </w:r>
      <w:proofErr w:type="gramEnd"/>
    </w:p>
    <w:p w14:paraId="23A97E26" w14:textId="77777777" w:rsidR="005F4DB9" w:rsidRPr="00583307" w:rsidRDefault="005F4DB9" w:rsidP="005F4DB9">
      <w:pPr>
        <w:snapToGrid w:val="0"/>
      </w:pPr>
    </w:p>
    <w:p w14:paraId="38593B2B" w14:textId="77777777" w:rsidR="005F4DB9" w:rsidRPr="00D55CB1" w:rsidRDefault="005F4DB9" w:rsidP="005F4DB9">
      <w:pPr>
        <w:numPr>
          <w:ilvl w:val="0"/>
          <w:numId w:val="45"/>
        </w:numPr>
        <w:snapToGrid w:val="0"/>
        <w:spacing w:after="0" w:line="240" w:lineRule="auto"/>
      </w:pPr>
      <w:r w:rsidRPr="00D55CB1">
        <w:t xml:space="preserve">Specify UE reporting enhancement for CJT deployments under non-ideal synchronization and backhaul, targeting FR1, both FDD and TDD </w:t>
      </w:r>
    </w:p>
    <w:p w14:paraId="523F9F69" w14:textId="77777777" w:rsidR="005F4DB9" w:rsidRPr="00583307" w:rsidRDefault="005F4DB9" w:rsidP="005F4DB9">
      <w:pPr>
        <w:numPr>
          <w:ilvl w:val="0"/>
          <w:numId w:val="46"/>
        </w:numPr>
        <w:snapToGrid w:val="0"/>
        <w:spacing w:after="0" w:line="240" w:lineRule="auto"/>
      </w:pPr>
      <w:r w:rsidRPr="00583307">
        <w:t>Inter-TRP time misalignment and frequency/phase offset measurement and reporting, assuming legacy CSI-RS design, with stand-alone aperiodic reporting on PUSCH</w:t>
      </w:r>
    </w:p>
    <w:p w14:paraId="6DD36139" w14:textId="77777777" w:rsidR="005F4DB9" w:rsidRPr="00583307" w:rsidRDefault="005F4DB9" w:rsidP="005F4DB9">
      <w:pPr>
        <w:snapToGrid w:val="0"/>
      </w:pPr>
      <w:r w:rsidRPr="00583307">
        <w:t> </w:t>
      </w:r>
    </w:p>
    <w:p w14:paraId="6145BEFE" w14:textId="77777777" w:rsidR="005F4DB9" w:rsidRPr="00583307" w:rsidRDefault="005F4DB9" w:rsidP="005F4DB9">
      <w:pPr>
        <w:numPr>
          <w:ilvl w:val="0"/>
          <w:numId w:val="45"/>
        </w:numPr>
        <w:snapToGrid w:val="0"/>
        <w:spacing w:after="0" w:line="240" w:lineRule="auto"/>
      </w:pPr>
      <w:r w:rsidRPr="00583307">
        <w:t xml:space="preserve">Specify non-coherent UL codebook to facilitate 3-antenna-port codebook-based transmissions, without </w:t>
      </w:r>
      <w:r>
        <w:t>enhancement on</w:t>
      </w:r>
      <w:r w:rsidRPr="00583307">
        <w:t xml:space="preserve"> UL full power transmission and without enhancement</w:t>
      </w:r>
      <w:r>
        <w:t xml:space="preserve"> on SRS </w:t>
      </w:r>
      <w:proofErr w:type="gramStart"/>
      <w:r>
        <w:t>resource</w:t>
      </w:r>
      <w:proofErr w:type="gramEnd"/>
    </w:p>
    <w:p w14:paraId="4BBCF6B5" w14:textId="77777777" w:rsidR="005F4DB9" w:rsidRPr="00583307" w:rsidRDefault="005F4DB9" w:rsidP="005F4DB9">
      <w:pPr>
        <w:snapToGrid w:val="0"/>
      </w:pPr>
    </w:p>
    <w:p w14:paraId="2B514ED4" w14:textId="77777777" w:rsidR="005F4DB9" w:rsidRPr="004416CD" w:rsidRDefault="005F4DB9" w:rsidP="005F4DB9">
      <w:pPr>
        <w:numPr>
          <w:ilvl w:val="0"/>
          <w:numId w:val="45"/>
        </w:numPr>
        <w:snapToGrid w:val="0"/>
        <w:spacing w:after="0" w:line="240" w:lineRule="auto"/>
      </w:pPr>
      <w:r w:rsidRPr="00583307">
        <w:t xml:space="preserve">Specify enhancement for </w:t>
      </w:r>
      <w:r w:rsidRPr="004416CD">
        <w:t xml:space="preserve">asymmetric DL </w:t>
      </w:r>
      <w:proofErr w:type="spellStart"/>
      <w:r w:rsidRPr="004416CD">
        <w:t>sTRP</w:t>
      </w:r>
      <w:proofErr w:type="spellEnd"/>
      <w:r w:rsidRPr="004416CD">
        <w:t>/UL mTRP deployment scenarios, assuming intra-band intra-DU non-co-located mTRP scenarios, without changing existing cell definition or defining a new cell (</w:t>
      </w:r>
      <w:proofErr w:type="gramStart"/>
      <w:r w:rsidRPr="004416CD">
        <w:t>e.g.</w:t>
      </w:r>
      <w:proofErr w:type="gramEnd"/>
      <w:r w:rsidRPr="004416CD">
        <w:t xml:space="preserve"> UL-only cell), assuming the Rel-17/18 unified TCI framework and fully reusing the legacy QCL/UL spatial relation rules, targeting FR1 and FR2 </w:t>
      </w:r>
    </w:p>
    <w:p w14:paraId="6949E305" w14:textId="77777777" w:rsidR="005F4DB9" w:rsidRPr="00A02595" w:rsidRDefault="005F4DB9" w:rsidP="005F4DB9">
      <w:pPr>
        <w:numPr>
          <w:ilvl w:val="1"/>
          <w:numId w:val="45"/>
        </w:numPr>
        <w:snapToGrid w:val="0"/>
        <w:spacing w:after="0" w:line="240" w:lineRule="auto"/>
      </w:pPr>
      <w:r w:rsidRPr="004416CD">
        <w:lastRenderedPageBreak/>
        <w:t xml:space="preserve">Two closed-loop PC adjustment states for SRS, both </w:t>
      </w:r>
      <w:r w:rsidRPr="00583307">
        <w:t xml:space="preserve">separate from </w:t>
      </w:r>
      <w:r w:rsidRPr="00A02595">
        <w:t xml:space="preserve">PUSCH; and pathloss offset configurations for pathloss calculation to UL TRP(s), when the pathloss RS is from DL </w:t>
      </w:r>
      <w:proofErr w:type="spellStart"/>
      <w:r w:rsidRPr="00A02595">
        <w:t>sTRP</w:t>
      </w:r>
      <w:proofErr w:type="spellEnd"/>
      <w:r w:rsidRPr="00A02595">
        <w:t xml:space="preserve">. </w:t>
      </w:r>
    </w:p>
    <w:bookmarkEnd w:id="0"/>
    <w:bookmarkEnd w:id="1"/>
    <w:p w14:paraId="7FE18864" w14:textId="77777777" w:rsidR="00C12D3C" w:rsidRPr="00177822" w:rsidRDefault="00C12D3C" w:rsidP="00F2020F">
      <w:pPr>
        <w:rPr>
          <w:color w:val="0D0D0D" w:themeColor="text1" w:themeTint="F2"/>
          <w:lang w:eastAsia="ja-JP"/>
        </w:rPr>
      </w:pPr>
    </w:p>
    <w:p w14:paraId="60123794" w14:textId="3F480B7C" w:rsidR="004000E8" w:rsidRDefault="00230D18" w:rsidP="00CE0424">
      <w:pPr>
        <w:pStyle w:val="Heading1"/>
      </w:pPr>
      <w:bookmarkStart w:id="2" w:name="_Ref178064866"/>
      <w:r>
        <w:t>2</w:t>
      </w:r>
      <w:r>
        <w:tab/>
      </w:r>
      <w:bookmarkEnd w:id="2"/>
      <w:r w:rsidR="005B07B5">
        <w:t>Motivation</w:t>
      </w:r>
      <w:r w:rsidR="0065737D">
        <w:t>s</w:t>
      </w:r>
      <w:r w:rsidR="00767985">
        <w:t xml:space="preserve"> for the proposed items</w:t>
      </w:r>
    </w:p>
    <w:p w14:paraId="7D425C6D" w14:textId="5FAF0258" w:rsidR="005B07B5" w:rsidRDefault="005B07B5" w:rsidP="005B07B5">
      <w:pPr>
        <w:pStyle w:val="Heading2"/>
      </w:pPr>
      <w:r>
        <w:t>2.1 Item 1</w:t>
      </w:r>
      <w:r w:rsidR="0065737D">
        <w:t xml:space="preserve"> on beam management</w:t>
      </w:r>
      <w:r w:rsidR="006C5360">
        <w:t xml:space="preserve"> enhancements</w:t>
      </w:r>
    </w:p>
    <w:p w14:paraId="644D8761" w14:textId="46906C4B" w:rsidR="009C28FC" w:rsidRDefault="009C28FC" w:rsidP="009C28FC">
      <w:pPr>
        <w:jc w:val="both"/>
        <w:rPr>
          <w:lang w:val="en-GB" w:eastAsia="ja-JP"/>
        </w:rPr>
      </w:pPr>
      <w:r>
        <w:rPr>
          <w:lang w:val="en-GB" w:eastAsia="ja-JP"/>
        </w:rPr>
        <w:t xml:space="preserve">Over the past few releases, there have been proposals on UE-initiated beam reporting. Such reporting would resemble the reporting for L3 mobility, where the UE performs measurements on (periodic) </w:t>
      </w:r>
      <w:r w:rsidR="00942F20">
        <w:rPr>
          <w:lang w:val="en-GB" w:eastAsia="ja-JP"/>
        </w:rPr>
        <w:t xml:space="preserve">DL </w:t>
      </w:r>
      <w:r>
        <w:rPr>
          <w:lang w:val="en-GB" w:eastAsia="ja-JP"/>
        </w:rPr>
        <w:t>reference signals, only reporting the measurement results to the NW if certain conditions are fulfilled, i.e., if some events occur. This reporting is known as event-driven reporting, and 38.331 defines several different types of events</w:t>
      </w:r>
      <w:r w:rsidR="00942F20">
        <w:rPr>
          <w:lang w:val="en-GB" w:eastAsia="ja-JP"/>
        </w:rPr>
        <w:t xml:space="preserve"> to support L3 </w:t>
      </w:r>
      <w:r w:rsidR="003C56B0">
        <w:rPr>
          <w:lang w:val="en-GB" w:eastAsia="ja-JP"/>
        </w:rPr>
        <w:t>mobility</w:t>
      </w:r>
      <w:r>
        <w:rPr>
          <w:lang w:val="en-GB" w:eastAsia="ja-JP"/>
        </w:rPr>
        <w:t>, e.g., target cell becomes x dB better than serving cell. Another example of event-driven reporting in legacy is the power headroom reporting: the UE notifies the NW that the power head room has changed if some conditions have changed.</w:t>
      </w:r>
    </w:p>
    <w:p w14:paraId="5D1EFCA1" w14:textId="688AADCE" w:rsidR="00A351CC" w:rsidRDefault="009C28FC" w:rsidP="009C28FC">
      <w:pPr>
        <w:jc w:val="both"/>
        <w:rPr>
          <w:lang w:val="en-GB" w:eastAsia="ja-JP"/>
        </w:rPr>
      </w:pPr>
      <w:r>
        <w:rPr>
          <w:lang w:val="en-GB" w:eastAsia="ja-JP"/>
        </w:rPr>
        <w:t>In principle, event-driven reporting could be applied also to the (intra-cell) beam reporting. The UE could perform measurement on (periodic) DL reference signals, and once certain conditions are fulfilled, the report</w:t>
      </w:r>
      <w:r w:rsidR="00B114F8">
        <w:rPr>
          <w:lang w:val="en-GB" w:eastAsia="ja-JP"/>
        </w:rPr>
        <w:t xml:space="preserve"> is transmitted.</w:t>
      </w:r>
      <w:r>
        <w:rPr>
          <w:lang w:val="en-GB" w:eastAsia="ja-JP"/>
        </w:rPr>
        <w:t xml:space="preserve"> </w:t>
      </w:r>
    </w:p>
    <w:p w14:paraId="3B307449" w14:textId="6B76E096" w:rsidR="00887483" w:rsidRDefault="00A351CC" w:rsidP="00887483">
      <w:pPr>
        <w:jc w:val="both"/>
        <w:rPr>
          <w:lang w:val="en-GB"/>
        </w:rPr>
      </w:pPr>
      <w:r>
        <w:rPr>
          <w:lang w:val="en-GB" w:eastAsia="ja-JP"/>
        </w:rPr>
        <w:t xml:space="preserve">The main benefit of event-driven reporting is that it reduces </w:t>
      </w:r>
      <w:proofErr w:type="spellStart"/>
      <w:r>
        <w:rPr>
          <w:lang w:val="en-GB" w:eastAsia="ja-JP"/>
        </w:rPr>
        <w:t>signaling</w:t>
      </w:r>
      <w:proofErr w:type="spellEnd"/>
      <w:r>
        <w:rPr>
          <w:lang w:val="en-GB" w:eastAsia="ja-JP"/>
        </w:rPr>
        <w:t xml:space="preserve"> overhead, since the measurements are only sent to the NW if certain conditions are fulfilled.  </w:t>
      </w:r>
    </w:p>
    <w:p w14:paraId="0DB5D430" w14:textId="3532C2EE" w:rsidR="009C28FC" w:rsidRPr="00401AB4" w:rsidRDefault="00AC1467" w:rsidP="002A13F3">
      <w:pPr>
        <w:jc w:val="both"/>
        <w:rPr>
          <w:lang w:val="en-GB"/>
        </w:rPr>
      </w:pPr>
      <w:r>
        <w:rPr>
          <w:lang w:val="en-GB"/>
        </w:rPr>
        <w:t>As described in section 1, d</w:t>
      </w:r>
      <w:r w:rsidR="00887483">
        <w:rPr>
          <w:lang w:val="en-GB"/>
        </w:rPr>
        <w:t xml:space="preserve">efining the format and content of the report </w:t>
      </w:r>
      <w:r>
        <w:rPr>
          <w:lang w:val="en-GB"/>
        </w:rPr>
        <w:t xml:space="preserve">would be </w:t>
      </w:r>
      <w:r w:rsidR="00592D07">
        <w:rPr>
          <w:lang w:val="en-GB"/>
        </w:rPr>
        <w:t xml:space="preserve">part of the RAN1 scope </w:t>
      </w:r>
      <w:r>
        <w:rPr>
          <w:lang w:val="en-GB"/>
        </w:rPr>
        <w:t xml:space="preserve">for Rel-19. On the other hand, the definition of the event, i.e., the conditions that would trigger the UE to send the report, will not be specified in Rel-19. Nor will the mechanism to request UL resources to send the report be specified in Rel-19. </w:t>
      </w:r>
    </w:p>
    <w:p w14:paraId="1399DFA0" w14:textId="776CF920" w:rsidR="009C28FC" w:rsidRDefault="009C28FC" w:rsidP="009C28FC">
      <w:pPr>
        <w:jc w:val="both"/>
        <w:rPr>
          <w:lang w:val="en-GB"/>
        </w:rPr>
      </w:pPr>
      <w:r>
        <w:rPr>
          <w:lang w:val="en-GB"/>
        </w:rPr>
        <w:t xml:space="preserve">The bulk of the work would thus be to define the report format and content. Note that the design would have to </w:t>
      </w:r>
      <w:r w:rsidR="00295276">
        <w:rPr>
          <w:lang w:val="en-GB"/>
        </w:rPr>
        <w:t>consider</w:t>
      </w:r>
      <w:r>
        <w:rPr>
          <w:lang w:val="en-GB"/>
        </w:rPr>
        <w:t xml:space="preserve"> that the report would be sent in response to an event, which means that the report would only be sent once.</w:t>
      </w:r>
      <w:r w:rsidR="00AC1467">
        <w:rPr>
          <w:lang w:val="en-GB"/>
        </w:rPr>
        <w:t xml:space="preserve"> If the report is not received by the NW, it would have to be retransmitted, which is different from legacy beam reports</w:t>
      </w:r>
      <w:r w:rsidR="005201AA">
        <w:rPr>
          <w:lang w:val="en-GB"/>
        </w:rPr>
        <w:t xml:space="preserve"> that</w:t>
      </w:r>
      <w:r w:rsidR="00AC1467">
        <w:rPr>
          <w:lang w:val="en-GB"/>
        </w:rPr>
        <w:t xml:space="preserve"> is not retransmitted: the UE transmits it once, and then discards the report. If the NW does not receive a legacy beam report, the next beam report would be used instead.</w:t>
      </w:r>
    </w:p>
    <w:p w14:paraId="191663E9" w14:textId="38207A7A" w:rsidR="009C28FC" w:rsidRPr="009C28FC" w:rsidRDefault="00FA7D0C" w:rsidP="00295276">
      <w:pPr>
        <w:jc w:val="both"/>
        <w:rPr>
          <w:lang w:val="en-GB"/>
        </w:rPr>
      </w:pPr>
      <w:r>
        <w:rPr>
          <w:lang w:val="en-GB"/>
        </w:rPr>
        <w:t xml:space="preserve">There is an overlap </w:t>
      </w:r>
      <w:r w:rsidR="00513270">
        <w:rPr>
          <w:lang w:val="en-GB"/>
        </w:rPr>
        <w:t xml:space="preserve">between </w:t>
      </w:r>
      <w:r>
        <w:rPr>
          <w:lang w:val="en-GB"/>
        </w:rPr>
        <w:t>this scope and the RAN</w:t>
      </w:r>
      <w:r w:rsidR="00513270">
        <w:rPr>
          <w:lang w:val="en-GB"/>
        </w:rPr>
        <w:t xml:space="preserve">2 led </w:t>
      </w:r>
      <w:r>
        <w:rPr>
          <w:lang w:val="en-GB"/>
        </w:rPr>
        <w:t xml:space="preserve">Rel.19 WI on mobility. </w:t>
      </w:r>
      <w:r w:rsidR="002A13F3">
        <w:rPr>
          <w:lang w:val="en-GB"/>
        </w:rPr>
        <w:t xml:space="preserve">Similar solutions would be applicable, but it would seem challenging to drive the work in that direction, especially considering that the mobility WI starts in Q2 for RAN2, and in Q3 for RAN1. </w:t>
      </w:r>
    </w:p>
    <w:p w14:paraId="22244463" w14:textId="25F77AF5" w:rsidR="0065737D" w:rsidRDefault="0065737D" w:rsidP="0065737D">
      <w:pPr>
        <w:pStyle w:val="Heading2"/>
      </w:pPr>
      <w:r>
        <w:t>2.2 Item 2 on support for large</w:t>
      </w:r>
      <w:r w:rsidR="0041327F">
        <w:t>r</w:t>
      </w:r>
      <w:r>
        <w:t xml:space="preserve"> MIMO antennas</w:t>
      </w:r>
    </w:p>
    <w:p w14:paraId="5865A6E7" w14:textId="2B13F5B3" w:rsidR="008E03D1" w:rsidRDefault="00767985" w:rsidP="00767985">
      <w:pPr>
        <w:jc w:val="both"/>
        <w:rPr>
          <w:lang w:eastAsia="ja-JP"/>
        </w:rPr>
      </w:pPr>
      <w:r w:rsidRPr="00767985">
        <w:rPr>
          <w:lang w:eastAsia="ja-JP"/>
        </w:rPr>
        <w:t>To address the issue of coverage</w:t>
      </w:r>
      <w:r w:rsidR="008E03D1">
        <w:rPr>
          <w:lang w:eastAsia="ja-JP"/>
        </w:rPr>
        <w:t xml:space="preserve"> and</w:t>
      </w:r>
      <w:r w:rsidRPr="00767985">
        <w:rPr>
          <w:lang w:eastAsia="ja-JP"/>
        </w:rPr>
        <w:t xml:space="preserve"> higher downlink spectrum efficiency, larger antenna arrays for single transmission point transmissions with an increased number of antennas have </w:t>
      </w:r>
      <w:r w:rsidR="008E03D1">
        <w:rPr>
          <w:lang w:eastAsia="ja-JP"/>
        </w:rPr>
        <w:t xml:space="preserve">recently gained </w:t>
      </w:r>
      <w:r w:rsidRPr="00767985">
        <w:rPr>
          <w:lang w:eastAsia="ja-JP"/>
        </w:rPr>
        <w:t>an increased interest in the industry, partly due to new available frequency bands</w:t>
      </w:r>
      <w:r w:rsidR="0008335D">
        <w:rPr>
          <w:lang w:eastAsia="ja-JP"/>
        </w:rPr>
        <w:t xml:space="preserve"> (e.g.</w:t>
      </w:r>
      <w:r w:rsidR="002A13F3">
        <w:rPr>
          <w:lang w:eastAsia="ja-JP"/>
        </w:rPr>
        <w:t>,</w:t>
      </w:r>
      <w:r w:rsidR="0008335D">
        <w:rPr>
          <w:lang w:eastAsia="ja-JP"/>
        </w:rPr>
        <w:t xml:space="preserve"> </w:t>
      </w:r>
      <w:r w:rsidR="00444D23">
        <w:rPr>
          <w:lang w:eastAsia="ja-JP"/>
        </w:rPr>
        <w:t xml:space="preserve">in FR1 </w:t>
      </w:r>
      <w:r w:rsidR="0008335D">
        <w:rPr>
          <w:lang w:eastAsia="ja-JP"/>
        </w:rPr>
        <w:t>between 6 and 7 GHz)</w:t>
      </w:r>
      <w:r w:rsidRPr="00767985">
        <w:rPr>
          <w:lang w:eastAsia="ja-JP"/>
        </w:rPr>
        <w:t xml:space="preserve">. </w:t>
      </w:r>
    </w:p>
    <w:p w14:paraId="28D93BF6" w14:textId="526727F6" w:rsidR="00901AC4" w:rsidRDefault="00767985" w:rsidP="00767985">
      <w:pPr>
        <w:jc w:val="both"/>
        <w:rPr>
          <w:lang w:eastAsia="ja-JP"/>
        </w:rPr>
      </w:pPr>
      <w:r w:rsidRPr="00767985">
        <w:rPr>
          <w:lang w:eastAsia="ja-JP"/>
        </w:rPr>
        <w:t>In current specifications, the</w:t>
      </w:r>
      <w:r w:rsidR="00D91F56">
        <w:rPr>
          <w:lang w:eastAsia="ja-JP"/>
        </w:rPr>
        <w:t>re is no</w:t>
      </w:r>
      <w:r w:rsidRPr="00767985">
        <w:rPr>
          <w:lang w:eastAsia="ja-JP"/>
        </w:rPr>
        <w:t xml:space="preserve"> support for</w:t>
      </w:r>
      <w:r w:rsidR="00D91F56">
        <w:rPr>
          <w:lang w:eastAsia="ja-JP"/>
        </w:rPr>
        <w:t xml:space="preserve"> the foreseen</w:t>
      </w:r>
      <w:r w:rsidRPr="00767985">
        <w:rPr>
          <w:lang w:eastAsia="ja-JP"/>
        </w:rPr>
        <w:t xml:space="preserve"> large antenna arrays with </w:t>
      </w:r>
      <w:r w:rsidR="00D91F56">
        <w:rPr>
          <w:lang w:eastAsia="ja-JP"/>
        </w:rPr>
        <w:t xml:space="preserve">such </w:t>
      </w:r>
      <w:r w:rsidRPr="00767985">
        <w:rPr>
          <w:lang w:eastAsia="ja-JP"/>
        </w:rPr>
        <w:t xml:space="preserve">large number of CSI-RS ports for CSI measurement and reporting. </w:t>
      </w:r>
    </w:p>
    <w:p w14:paraId="52928143" w14:textId="5DF897CB" w:rsidR="004B2B8D" w:rsidRDefault="00767985" w:rsidP="00767985">
      <w:pPr>
        <w:jc w:val="both"/>
        <w:rPr>
          <w:lang w:eastAsia="ja-JP"/>
        </w:rPr>
      </w:pPr>
      <w:r w:rsidRPr="00767985">
        <w:rPr>
          <w:lang w:eastAsia="ja-JP"/>
        </w:rPr>
        <w:t xml:space="preserve">It is therefore justified to increase the number of ports for CSI reporting (up to 128 CSI-RS ports) </w:t>
      </w:r>
      <w:r w:rsidR="0008335D" w:rsidRPr="00767985">
        <w:rPr>
          <w:lang w:eastAsia="ja-JP"/>
        </w:rPr>
        <w:t>and</w:t>
      </w:r>
      <w:r w:rsidR="004B2B8D">
        <w:rPr>
          <w:lang w:eastAsia="ja-JP"/>
        </w:rPr>
        <w:t xml:space="preserve"> with an associated adjustment of the codebook. From our perspective, the Type I codebook is </w:t>
      </w:r>
      <w:r w:rsidR="00FF37A3">
        <w:rPr>
          <w:lang w:eastAsia="ja-JP"/>
        </w:rPr>
        <w:t xml:space="preserve">the baseline that needs to be supported but support for Type-II codebooks are also </w:t>
      </w:r>
      <w:r w:rsidR="002A13F3">
        <w:rPr>
          <w:lang w:eastAsia="ja-JP"/>
        </w:rPr>
        <w:t>relevant</w:t>
      </w:r>
      <w:r w:rsidR="00FF37A3">
        <w:rPr>
          <w:lang w:eastAsia="ja-JP"/>
        </w:rPr>
        <w:t xml:space="preserve">. </w:t>
      </w:r>
    </w:p>
    <w:p w14:paraId="61143FA4" w14:textId="63DA24D1" w:rsidR="006C5360" w:rsidRDefault="0008118D" w:rsidP="00767985">
      <w:pPr>
        <w:jc w:val="both"/>
        <w:rPr>
          <w:lang w:eastAsia="ja-JP"/>
        </w:rPr>
      </w:pPr>
      <w:r>
        <w:rPr>
          <w:lang w:eastAsia="ja-JP"/>
        </w:rPr>
        <w:t>Likewise, i</w:t>
      </w:r>
      <w:r w:rsidRPr="00767985">
        <w:rPr>
          <w:lang w:eastAsia="ja-JP"/>
        </w:rPr>
        <w:t>t is justified</w:t>
      </w:r>
      <w:r w:rsidR="00767985" w:rsidRPr="00767985">
        <w:rPr>
          <w:lang w:eastAsia="ja-JP"/>
        </w:rPr>
        <w:t xml:space="preserve"> </w:t>
      </w:r>
      <w:r w:rsidR="002A13F3">
        <w:rPr>
          <w:lang w:eastAsia="ja-JP"/>
        </w:rPr>
        <w:t xml:space="preserve">to </w:t>
      </w:r>
      <w:r w:rsidR="00767985" w:rsidRPr="00767985">
        <w:rPr>
          <w:lang w:eastAsia="ja-JP"/>
        </w:rPr>
        <w:t xml:space="preserve">enhance </w:t>
      </w:r>
      <w:r>
        <w:rPr>
          <w:lang w:eastAsia="ja-JP"/>
        </w:rPr>
        <w:t xml:space="preserve">current support for </w:t>
      </w:r>
      <w:r w:rsidR="00767985" w:rsidRPr="00767985">
        <w:rPr>
          <w:lang w:eastAsia="ja-JP"/>
        </w:rPr>
        <w:t xml:space="preserve">hybrid beamforming to </w:t>
      </w:r>
      <w:r>
        <w:rPr>
          <w:lang w:eastAsia="ja-JP"/>
        </w:rPr>
        <w:t>large</w:t>
      </w:r>
      <w:r w:rsidR="002A13F3">
        <w:rPr>
          <w:lang w:eastAsia="ja-JP"/>
        </w:rPr>
        <w:t>r</w:t>
      </w:r>
      <w:r>
        <w:rPr>
          <w:lang w:eastAsia="ja-JP"/>
        </w:rPr>
        <w:t xml:space="preserve"> antennas and to </w:t>
      </w:r>
      <w:r w:rsidR="00767985" w:rsidRPr="00767985">
        <w:rPr>
          <w:lang w:eastAsia="ja-JP"/>
        </w:rPr>
        <w:t xml:space="preserve">multi-beam reporting </w:t>
      </w:r>
      <w:r w:rsidR="00AB11A1">
        <w:rPr>
          <w:lang w:eastAsia="ja-JP"/>
        </w:rPr>
        <w:t xml:space="preserve">by an </w:t>
      </w:r>
      <w:r w:rsidR="00767985" w:rsidRPr="00767985">
        <w:rPr>
          <w:lang w:eastAsia="ja-JP"/>
        </w:rPr>
        <w:t>exten</w:t>
      </w:r>
      <w:r w:rsidR="00AB11A1">
        <w:rPr>
          <w:lang w:eastAsia="ja-JP"/>
        </w:rPr>
        <w:t>sion of</w:t>
      </w:r>
      <w:r w:rsidR="00767985" w:rsidRPr="00767985">
        <w:rPr>
          <w:lang w:eastAsia="ja-JP"/>
        </w:rPr>
        <w:t xml:space="preserve"> up to 32 ports per reported beam</w:t>
      </w:r>
      <w:r w:rsidR="00AB11A1">
        <w:rPr>
          <w:lang w:eastAsia="ja-JP"/>
        </w:rPr>
        <w:t>. The multi-beam reporting will increase the possibilities for MU-MIMO scheduling which improves the</w:t>
      </w:r>
      <w:r w:rsidR="003D57DA">
        <w:rPr>
          <w:lang w:eastAsia="ja-JP"/>
        </w:rPr>
        <w:t xml:space="preserve"> downlink system throughput and latency. </w:t>
      </w:r>
    </w:p>
    <w:p w14:paraId="0BFF34A8" w14:textId="0D39453F" w:rsidR="0008335D" w:rsidRDefault="003D57DA" w:rsidP="0008335D">
      <w:pPr>
        <w:jc w:val="both"/>
        <w:rPr>
          <w:lang w:eastAsia="ja-JP"/>
        </w:rPr>
      </w:pPr>
      <w:r>
        <w:rPr>
          <w:lang w:eastAsia="ja-JP"/>
        </w:rPr>
        <w:lastRenderedPageBreak/>
        <w:t>Note that these two e</w:t>
      </w:r>
      <w:r w:rsidR="0008335D" w:rsidRPr="00767985">
        <w:rPr>
          <w:lang w:eastAsia="ja-JP"/>
        </w:rPr>
        <w:t>nhancements to existing specifications</w:t>
      </w:r>
      <w:r w:rsidR="004B3058">
        <w:rPr>
          <w:lang w:eastAsia="ja-JP"/>
        </w:rPr>
        <w:t>, i.e.</w:t>
      </w:r>
      <w:r w:rsidR="002A13F3">
        <w:rPr>
          <w:lang w:eastAsia="ja-JP"/>
        </w:rPr>
        <w:t>,</w:t>
      </w:r>
      <w:r w:rsidR="004B3058">
        <w:rPr>
          <w:lang w:eastAsia="ja-JP"/>
        </w:rPr>
        <w:t xml:space="preserve"> for </w:t>
      </w:r>
      <w:r w:rsidR="0008335D" w:rsidRPr="00767985">
        <w:rPr>
          <w:lang w:eastAsia="ja-JP"/>
        </w:rPr>
        <w:t xml:space="preserve">both fully digital gNB implementation options </w:t>
      </w:r>
      <w:r w:rsidR="007824D0">
        <w:rPr>
          <w:lang w:eastAsia="ja-JP"/>
        </w:rPr>
        <w:t>(i.e.</w:t>
      </w:r>
      <w:r w:rsidR="002A13F3">
        <w:rPr>
          <w:lang w:eastAsia="ja-JP"/>
        </w:rPr>
        <w:t>,</w:t>
      </w:r>
      <w:r w:rsidR="007824D0">
        <w:rPr>
          <w:lang w:eastAsia="ja-JP"/>
        </w:rPr>
        <w:t xml:space="preserve"> objective a. and b.) as well as hybrid beamforming (objective c.) </w:t>
      </w:r>
      <w:r w:rsidR="0008335D" w:rsidRPr="00767985">
        <w:rPr>
          <w:lang w:eastAsia="ja-JP"/>
        </w:rPr>
        <w:t>are ne</w:t>
      </w:r>
      <w:r w:rsidR="0008335D">
        <w:rPr>
          <w:lang w:eastAsia="ja-JP"/>
        </w:rPr>
        <w:t xml:space="preserve">cessary </w:t>
      </w:r>
      <w:r w:rsidR="0008335D" w:rsidRPr="00767985">
        <w:rPr>
          <w:lang w:eastAsia="ja-JP"/>
        </w:rPr>
        <w:t xml:space="preserve">to maintain the </w:t>
      </w:r>
      <w:r w:rsidR="00291474">
        <w:rPr>
          <w:lang w:eastAsia="ja-JP"/>
        </w:rPr>
        <w:t xml:space="preserve">option to make the </w:t>
      </w:r>
      <w:r w:rsidR="0008335D" w:rsidRPr="00767985">
        <w:rPr>
          <w:lang w:eastAsia="ja-JP"/>
        </w:rPr>
        <w:t>cost-effectiveness vs performance tradeoff in implementation</w:t>
      </w:r>
      <w:r w:rsidR="0008335D">
        <w:rPr>
          <w:lang w:eastAsia="ja-JP"/>
        </w:rPr>
        <w:t xml:space="preserve"> decisions</w:t>
      </w:r>
      <w:r w:rsidR="0008335D" w:rsidRPr="00767985">
        <w:rPr>
          <w:lang w:eastAsia="ja-JP"/>
        </w:rPr>
        <w:t xml:space="preserve">.  </w:t>
      </w:r>
    </w:p>
    <w:p w14:paraId="0CB1A44D" w14:textId="57212D18" w:rsidR="0008335D" w:rsidRPr="00767985" w:rsidRDefault="00023C63" w:rsidP="00767985">
      <w:pPr>
        <w:jc w:val="both"/>
        <w:rPr>
          <w:lang w:eastAsia="ja-JP"/>
        </w:rPr>
      </w:pPr>
      <w:r>
        <w:rPr>
          <w:lang w:eastAsia="ja-JP"/>
        </w:rPr>
        <w:t>For more detailed motivation and use cases, see our contribution from RAN#10</w:t>
      </w:r>
      <w:r w:rsidR="007100FC">
        <w:rPr>
          <w:lang w:eastAsia="ja-JP"/>
        </w:rPr>
        <w:t>1</w:t>
      </w:r>
      <w:r>
        <w:rPr>
          <w:lang w:eastAsia="ja-JP"/>
        </w:rPr>
        <w:t xml:space="preserve"> </w:t>
      </w:r>
      <w:r w:rsidR="00CB3FDC">
        <w:rPr>
          <w:lang w:eastAsia="ja-JP"/>
        </w:rPr>
        <w:fldChar w:fldCharType="begin"/>
      </w:r>
      <w:r w:rsidR="00CB3FDC">
        <w:rPr>
          <w:lang w:eastAsia="ja-JP"/>
        </w:rPr>
        <w:instrText xml:space="preserve"> REF _Ref151537597 \n \h </w:instrText>
      </w:r>
      <w:r w:rsidR="00CB3FDC">
        <w:rPr>
          <w:lang w:eastAsia="ja-JP"/>
        </w:rPr>
      </w:r>
      <w:r w:rsidR="00CB3FDC">
        <w:rPr>
          <w:lang w:eastAsia="ja-JP"/>
        </w:rPr>
        <w:fldChar w:fldCharType="separate"/>
      </w:r>
      <w:r w:rsidR="00CB3FDC">
        <w:rPr>
          <w:lang w:eastAsia="ja-JP"/>
        </w:rPr>
        <w:t>[1]</w:t>
      </w:r>
      <w:r w:rsidR="00CB3FDC">
        <w:rPr>
          <w:lang w:eastAsia="ja-JP"/>
        </w:rPr>
        <w:fldChar w:fldCharType="end"/>
      </w:r>
    </w:p>
    <w:p w14:paraId="7202A7FD" w14:textId="274D024A" w:rsidR="0065737D" w:rsidRDefault="0065737D" w:rsidP="0065737D">
      <w:pPr>
        <w:pStyle w:val="Heading2"/>
      </w:pPr>
      <w:r>
        <w:t xml:space="preserve">2.3 Item 3 on support for </w:t>
      </w:r>
      <w:r w:rsidR="00A800C3">
        <w:t xml:space="preserve">UE assisted calibration </w:t>
      </w:r>
      <w:r w:rsidR="00E140A4">
        <w:t>across</w:t>
      </w:r>
      <w:r w:rsidR="00A800C3">
        <w:t xml:space="preserve"> </w:t>
      </w:r>
      <w:proofErr w:type="spellStart"/>
      <w:r w:rsidR="00A800C3">
        <w:t>multi-</w:t>
      </w:r>
      <w:proofErr w:type="gramStart"/>
      <w:r w:rsidR="00A800C3">
        <w:t>TRP</w:t>
      </w:r>
      <w:proofErr w:type="spellEnd"/>
      <w:proofErr w:type="gramEnd"/>
    </w:p>
    <w:p w14:paraId="3116BAAF" w14:textId="24E41D11" w:rsidR="001D0378" w:rsidRDefault="00872A64" w:rsidP="00EF5BF4">
      <w:pPr>
        <w:jc w:val="both"/>
        <w:rPr>
          <w:lang w:eastAsia="ja-JP"/>
        </w:rPr>
      </w:pPr>
      <w:r w:rsidRPr="0061571A">
        <w:rPr>
          <w:lang w:eastAsia="ja-JP"/>
        </w:rPr>
        <w:t>Coherent</w:t>
      </w:r>
      <w:r w:rsidR="00F605AE">
        <w:rPr>
          <w:lang w:eastAsia="ja-JP"/>
        </w:rPr>
        <w:t xml:space="preserve"> joint transmission (C</w:t>
      </w:r>
      <w:r w:rsidRPr="0061571A">
        <w:rPr>
          <w:lang w:eastAsia="ja-JP"/>
        </w:rPr>
        <w:t>JT</w:t>
      </w:r>
      <w:r w:rsidR="00F605AE">
        <w:rPr>
          <w:lang w:eastAsia="ja-JP"/>
        </w:rPr>
        <w:t>)</w:t>
      </w:r>
      <w:r w:rsidRPr="0061571A">
        <w:rPr>
          <w:lang w:eastAsia="ja-JP"/>
        </w:rPr>
        <w:t xml:space="preserve"> in Rel.18 </w:t>
      </w:r>
      <w:r>
        <w:rPr>
          <w:lang w:eastAsia="ja-JP"/>
        </w:rPr>
        <w:t xml:space="preserve">MIMO work item </w:t>
      </w:r>
      <w:r w:rsidRPr="0061571A">
        <w:rPr>
          <w:lang w:eastAsia="ja-JP"/>
        </w:rPr>
        <w:t>considered only ideal time/frequency synchronization</w:t>
      </w:r>
      <w:r>
        <w:rPr>
          <w:lang w:eastAsia="ja-JP"/>
        </w:rPr>
        <w:t>, i.e., the DL timing and carrier frequency at multiple TRPs were assumed to be perfectly aligned</w:t>
      </w:r>
      <w:r w:rsidR="00E140A4">
        <w:rPr>
          <w:lang w:eastAsia="ja-JP"/>
        </w:rPr>
        <w:t xml:space="preserve"> and </w:t>
      </w:r>
      <w:proofErr w:type="gramStart"/>
      <w:r w:rsidR="00E140A4">
        <w:rPr>
          <w:lang w:eastAsia="ja-JP"/>
        </w:rPr>
        <w:t>UL  and</w:t>
      </w:r>
      <w:proofErr w:type="gramEnd"/>
      <w:r w:rsidR="00E140A4">
        <w:rPr>
          <w:lang w:eastAsia="ja-JP"/>
        </w:rPr>
        <w:t xml:space="preserve"> DL is perfectly calibrated</w:t>
      </w:r>
      <w:r w:rsidR="001D0378">
        <w:rPr>
          <w:lang w:eastAsia="ja-JP"/>
        </w:rPr>
        <w:t>.</w:t>
      </w:r>
      <w:r>
        <w:rPr>
          <w:lang w:eastAsia="ja-JP"/>
        </w:rPr>
        <w:t xml:space="preserve"> This is not the case </w:t>
      </w:r>
      <w:proofErr w:type="gramStart"/>
      <w:r>
        <w:rPr>
          <w:lang w:eastAsia="ja-JP"/>
        </w:rPr>
        <w:t xml:space="preserve">in </w:t>
      </w:r>
      <w:r w:rsidR="001D0378">
        <w:rPr>
          <w:lang w:eastAsia="ja-JP"/>
        </w:rPr>
        <w:t>reality and</w:t>
      </w:r>
      <w:proofErr w:type="gramEnd"/>
      <w:r w:rsidR="001D0378">
        <w:rPr>
          <w:lang w:eastAsia="ja-JP"/>
        </w:rPr>
        <w:t xml:space="preserve"> t</w:t>
      </w:r>
      <w:r w:rsidRPr="003B0566">
        <w:rPr>
          <w:lang w:eastAsia="ja-JP"/>
        </w:rPr>
        <w:t>here are a number of</w:t>
      </w:r>
      <w:r w:rsidR="001D0378">
        <w:rPr>
          <w:lang w:eastAsia="ja-JP"/>
        </w:rPr>
        <w:t xml:space="preserve"> remaining</w:t>
      </w:r>
      <w:r w:rsidRPr="003B0566">
        <w:rPr>
          <w:lang w:eastAsia="ja-JP"/>
        </w:rPr>
        <w:t xml:space="preserve"> challenges in supporting CJT in practice.  </w:t>
      </w:r>
    </w:p>
    <w:p w14:paraId="7F64CA12" w14:textId="10B65501" w:rsidR="00872A64" w:rsidRPr="002827C4" w:rsidRDefault="00872A64" w:rsidP="00EF5BF4">
      <w:pPr>
        <w:jc w:val="both"/>
        <w:rPr>
          <w:lang w:eastAsia="ja-JP"/>
        </w:rPr>
      </w:pPr>
      <w:r w:rsidRPr="003B0566">
        <w:rPr>
          <w:lang w:eastAsia="ja-JP"/>
        </w:rPr>
        <w:t xml:space="preserve">Firstly, propagation delays between different TRPs and a UE </w:t>
      </w:r>
      <w:r w:rsidR="002A13F3">
        <w:rPr>
          <w:lang w:eastAsia="ja-JP"/>
        </w:rPr>
        <w:t xml:space="preserve">will </w:t>
      </w:r>
      <w:r w:rsidRPr="003B0566">
        <w:rPr>
          <w:lang w:eastAsia="ja-JP"/>
        </w:rPr>
        <w:t xml:space="preserve">be different. </w:t>
      </w:r>
      <w:r>
        <w:rPr>
          <w:lang w:eastAsia="ja-JP"/>
        </w:rPr>
        <w:t xml:space="preserve">Furthermore, the DL </w:t>
      </w:r>
      <w:r w:rsidR="002A13F3">
        <w:rPr>
          <w:lang w:eastAsia="ja-JP"/>
        </w:rPr>
        <w:t xml:space="preserve">transmit </w:t>
      </w:r>
      <w:r>
        <w:rPr>
          <w:lang w:eastAsia="ja-JP"/>
        </w:rPr>
        <w:t xml:space="preserve">timing difference between TRPs will add on top of </w:t>
      </w:r>
      <w:r w:rsidR="002A13F3">
        <w:rPr>
          <w:lang w:eastAsia="ja-JP"/>
        </w:rPr>
        <w:t>this</w:t>
      </w:r>
      <w:r>
        <w:rPr>
          <w:lang w:eastAsia="ja-JP"/>
        </w:rPr>
        <w:t xml:space="preserve"> propagation delay difference.  These combined effects lead to l</w:t>
      </w:r>
      <w:r w:rsidRPr="003B0566">
        <w:rPr>
          <w:lang w:eastAsia="ja-JP"/>
        </w:rPr>
        <w:t xml:space="preserve">arge delay differences </w:t>
      </w:r>
      <w:r>
        <w:rPr>
          <w:lang w:eastAsia="ja-JP"/>
        </w:rPr>
        <w:t>that</w:t>
      </w:r>
      <w:r w:rsidRPr="003B0566">
        <w:rPr>
          <w:lang w:eastAsia="ja-JP"/>
        </w:rPr>
        <w:t xml:space="preserve"> result in a very frequency selective composite channel. </w:t>
      </w:r>
    </w:p>
    <w:p w14:paraId="64940E7E" w14:textId="49AF9C8B" w:rsidR="00872A64" w:rsidRDefault="007E0433" w:rsidP="00872A64">
      <w:pPr>
        <w:pStyle w:val="NormalWeb"/>
        <w:jc w:val="both"/>
        <w:rPr>
          <w:rStyle w:val="IvDbodytextChar"/>
          <w:sz w:val="20"/>
          <w:szCs w:val="20"/>
        </w:rPr>
      </w:pPr>
      <w:r>
        <w:rPr>
          <w:rStyle w:val="IvDbodytextChar"/>
          <w:sz w:val="20"/>
          <w:szCs w:val="20"/>
        </w:rPr>
        <w:t>In addition,</w:t>
      </w:r>
      <w:r w:rsidR="00872A64" w:rsidRPr="00CC2219">
        <w:rPr>
          <w:rStyle w:val="IvDbodytextChar"/>
          <w:sz w:val="20"/>
          <w:szCs w:val="20"/>
        </w:rPr>
        <w:t xml:space="preserve"> even though a same nominal transmit frequency may be assumed at multiple TRPs, due to local oscillator stability, there will be some actual transmit frequency difference between the multiple TRPs.  In 3GPP RAN4, the maximum transmit frequency error for a base station is specified in TS38.104 and the most stringent requirement is +/-0.05ppm. Even with +/-0.05ppm, there will be some residual frequency errors.  These frequency errors means that the relative phase of the signal received from different TRPs will change over time.</w:t>
      </w:r>
      <w:r w:rsidR="00872A64">
        <w:rPr>
          <w:rStyle w:val="IvDbodytextChar"/>
          <w:sz w:val="20"/>
          <w:szCs w:val="20"/>
        </w:rPr>
        <w:t xml:space="preserve"> </w:t>
      </w:r>
      <w:r w:rsidR="00872A64" w:rsidRPr="00CC2219">
        <w:rPr>
          <w:rStyle w:val="IvDbodytextChar"/>
          <w:sz w:val="20"/>
          <w:szCs w:val="20"/>
        </w:rPr>
        <w:t xml:space="preserve"> </w:t>
      </w:r>
    </w:p>
    <w:p w14:paraId="36C0692A" w14:textId="1BAFF401" w:rsidR="00917C85" w:rsidRDefault="00917C85" w:rsidP="00872A64">
      <w:pPr>
        <w:pStyle w:val="NormalWeb"/>
        <w:jc w:val="both"/>
        <w:rPr>
          <w:rStyle w:val="IvDbodytextChar"/>
          <w:sz w:val="20"/>
          <w:szCs w:val="20"/>
        </w:rPr>
      </w:pPr>
      <w:r>
        <w:rPr>
          <w:rStyle w:val="IvDbodytextChar"/>
          <w:sz w:val="20"/>
          <w:szCs w:val="20"/>
        </w:rPr>
        <w:t xml:space="preserve">In case of TDD, where SRS would be useful to measure </w:t>
      </w:r>
      <w:r w:rsidR="00995B69">
        <w:rPr>
          <w:rStyle w:val="IvDbodytextChar"/>
          <w:sz w:val="20"/>
          <w:szCs w:val="20"/>
        </w:rPr>
        <w:t xml:space="preserve">relevant time and frequency </w:t>
      </w:r>
      <w:r>
        <w:rPr>
          <w:rStyle w:val="IvDbodytextChar"/>
          <w:sz w:val="20"/>
          <w:szCs w:val="20"/>
        </w:rPr>
        <w:t xml:space="preserve">differences in the uplink, </w:t>
      </w:r>
      <w:r w:rsidR="00995B69">
        <w:rPr>
          <w:rStyle w:val="IvDbodytextChar"/>
          <w:sz w:val="20"/>
          <w:szCs w:val="20"/>
        </w:rPr>
        <w:t xml:space="preserve">it requires a calibrated UL and DL paths </w:t>
      </w:r>
      <w:r w:rsidR="00E83EEE">
        <w:rPr>
          <w:rStyle w:val="IvDbodytextChar"/>
          <w:sz w:val="20"/>
          <w:szCs w:val="20"/>
        </w:rPr>
        <w:t xml:space="preserve">also </w:t>
      </w:r>
      <w:r w:rsidR="00995B69">
        <w:rPr>
          <w:rStyle w:val="IvDbodytextChar"/>
          <w:sz w:val="20"/>
          <w:szCs w:val="20"/>
        </w:rPr>
        <w:t xml:space="preserve">across TRPs for this approach to be useful. </w:t>
      </w:r>
      <w:r w:rsidR="00E83EEE">
        <w:rPr>
          <w:rStyle w:val="IvDbodytextChar"/>
          <w:sz w:val="20"/>
          <w:szCs w:val="20"/>
        </w:rPr>
        <w:t xml:space="preserve">This is not the </w:t>
      </w:r>
      <w:r w:rsidR="009C5B23">
        <w:rPr>
          <w:rStyle w:val="IvDbodytextChar"/>
          <w:sz w:val="20"/>
          <w:szCs w:val="20"/>
        </w:rPr>
        <w:t xml:space="preserve">case and an assisting measurement </w:t>
      </w:r>
      <w:r w:rsidR="004350EC">
        <w:rPr>
          <w:rStyle w:val="IvDbodytextChar"/>
          <w:sz w:val="20"/>
          <w:szCs w:val="20"/>
        </w:rPr>
        <w:t>report from the UE would resolve this problem.</w:t>
      </w:r>
      <w:r w:rsidR="00E83EEE">
        <w:rPr>
          <w:rStyle w:val="IvDbodytextChar"/>
          <w:sz w:val="20"/>
          <w:szCs w:val="20"/>
        </w:rPr>
        <w:t xml:space="preserve">, </w:t>
      </w:r>
    </w:p>
    <w:p w14:paraId="45B84780" w14:textId="3DE7B8D1" w:rsidR="00872A64" w:rsidRDefault="007E0433" w:rsidP="00096116">
      <w:pPr>
        <w:spacing w:before="100" w:beforeAutospacing="1" w:after="100" w:afterAutospacing="1"/>
        <w:jc w:val="both"/>
      </w:pPr>
      <w:r>
        <w:t>The proposed</w:t>
      </w:r>
      <w:r w:rsidR="00872A64" w:rsidRPr="00E9781E">
        <w:t xml:space="preserve"> solution is </w:t>
      </w:r>
      <w:r w:rsidR="004350EC">
        <w:t xml:space="preserve">thus </w:t>
      </w:r>
      <w:r w:rsidR="00872A64" w:rsidRPr="00E9781E">
        <w:t>for the UE to measure and report the delay and/or frequency differences between TRPs so that the gNB can perform delay and/or frequency pre-compensation to preserve the performance benefits of CJT. Since delay and frequency pre-compensation may also be needed for reciprocity based CJT</w:t>
      </w:r>
      <w:r w:rsidR="00096116">
        <w:t>, i.e.</w:t>
      </w:r>
      <w:r w:rsidR="00F605AE">
        <w:t>,</w:t>
      </w:r>
      <w:r w:rsidR="00096116">
        <w:t xml:space="preserve"> in TDD</w:t>
      </w:r>
      <w:r w:rsidR="00872A64" w:rsidRPr="00E9781E">
        <w:t xml:space="preserve">, the report should be a standalone report and </w:t>
      </w:r>
      <w:r w:rsidR="00096116">
        <w:t xml:space="preserve">shall </w:t>
      </w:r>
      <w:r w:rsidR="00872A64" w:rsidRPr="00E9781E">
        <w:t xml:space="preserve">not be coupled with </w:t>
      </w:r>
      <w:r w:rsidR="00872A64">
        <w:t xml:space="preserve">any codebook based </w:t>
      </w:r>
      <w:r w:rsidR="00872A64" w:rsidRPr="00E9781E">
        <w:t>CJT CSI (e.g., Type II) feedback.</w:t>
      </w:r>
      <w:r w:rsidR="00872A64">
        <w:t xml:space="preserve"> </w:t>
      </w:r>
      <w:r w:rsidR="00872A64" w:rsidRPr="00E9781E">
        <w:t xml:space="preserve"> </w:t>
      </w:r>
    </w:p>
    <w:p w14:paraId="7A6C670F" w14:textId="71BCB69B" w:rsidR="00096116" w:rsidRPr="00872A64" w:rsidRDefault="00096116" w:rsidP="006320D4">
      <w:pPr>
        <w:jc w:val="both"/>
        <w:rPr>
          <w:lang w:eastAsia="ja-JP"/>
        </w:rPr>
      </w:pPr>
      <w:r>
        <w:rPr>
          <w:lang w:eastAsia="ja-JP"/>
        </w:rPr>
        <w:t xml:space="preserve">For more detailed motivation and evaluations, see our contribution from RAN#101 </w:t>
      </w:r>
      <w:r>
        <w:rPr>
          <w:lang w:eastAsia="ja-JP"/>
        </w:rPr>
        <w:fldChar w:fldCharType="begin"/>
      </w:r>
      <w:r>
        <w:rPr>
          <w:lang w:eastAsia="ja-JP"/>
        </w:rPr>
        <w:instrText xml:space="preserve"> REF _Ref151537597 \n \h </w:instrText>
      </w:r>
      <w:r>
        <w:rPr>
          <w:lang w:eastAsia="ja-JP"/>
        </w:rPr>
      </w:r>
      <w:r>
        <w:rPr>
          <w:lang w:eastAsia="ja-JP"/>
        </w:rPr>
        <w:fldChar w:fldCharType="separate"/>
      </w:r>
      <w:r>
        <w:rPr>
          <w:lang w:eastAsia="ja-JP"/>
        </w:rPr>
        <w:t>[1]</w:t>
      </w:r>
      <w:r>
        <w:rPr>
          <w:lang w:eastAsia="ja-JP"/>
        </w:rPr>
        <w:fldChar w:fldCharType="end"/>
      </w:r>
    </w:p>
    <w:p w14:paraId="2A46E19A" w14:textId="439439FF" w:rsidR="00A800C3" w:rsidRDefault="00A800C3" w:rsidP="00A800C3">
      <w:pPr>
        <w:pStyle w:val="Heading2"/>
      </w:pPr>
      <w:r>
        <w:t xml:space="preserve">2.4 Item 4 on support for </w:t>
      </w:r>
      <w:r w:rsidR="0049234D">
        <w:t>3 Tx UE</w:t>
      </w:r>
    </w:p>
    <w:p w14:paraId="4EAE2859" w14:textId="7FC13D50" w:rsidR="009E2BDB" w:rsidRPr="005B4630" w:rsidRDefault="009E2BDB" w:rsidP="00F223CC">
      <w:pPr>
        <w:jc w:val="both"/>
        <w:rPr>
          <w:lang w:eastAsia="ja-JP"/>
        </w:rPr>
      </w:pPr>
      <w:r>
        <w:rPr>
          <w:lang w:val="en-GB" w:eastAsia="ja-JP"/>
        </w:rPr>
        <w:t xml:space="preserve">Based on the discussion in RAN1#101, there is commercial interest </w:t>
      </w:r>
      <w:r w:rsidR="00B80F1C">
        <w:rPr>
          <w:lang w:val="en-GB" w:eastAsia="ja-JP"/>
        </w:rPr>
        <w:t>expressed for developing standard support for 3Tx UL MIMO</w:t>
      </w:r>
      <w:r w:rsidR="00BA78AE">
        <w:rPr>
          <w:lang w:val="en-GB" w:eastAsia="ja-JP"/>
        </w:rPr>
        <w:t xml:space="preserve"> </w:t>
      </w:r>
      <w:r w:rsidR="00BA78AE" w:rsidRPr="00BA78AE">
        <w:rPr>
          <w:lang w:eastAsia="ja-JP"/>
        </w:rPr>
        <w:t>for enabling the market introduction of UEs with 3 Tx antennas.</w:t>
      </w:r>
      <w:r w:rsidR="005B4630">
        <w:rPr>
          <w:lang w:eastAsia="ja-JP"/>
        </w:rPr>
        <w:t xml:space="preserve"> </w:t>
      </w:r>
      <w:r w:rsidR="005674AE">
        <w:rPr>
          <w:lang w:val="en-GB" w:eastAsia="ja-JP"/>
        </w:rPr>
        <w:t xml:space="preserve">We are supportive of this under the condition that the scope is limited to the relevant configurations in terms of power </w:t>
      </w:r>
      <w:r w:rsidR="00C83CD6">
        <w:rPr>
          <w:lang w:val="en-GB" w:eastAsia="ja-JP"/>
        </w:rPr>
        <w:t xml:space="preserve">configuration and codebooks. In addition, </w:t>
      </w:r>
      <w:r w:rsidR="004A14BA">
        <w:rPr>
          <w:lang w:val="en-GB" w:eastAsia="ja-JP"/>
        </w:rPr>
        <w:t>defining a new</w:t>
      </w:r>
      <w:r w:rsidR="00A10B88">
        <w:rPr>
          <w:lang w:val="en-GB" w:eastAsia="ja-JP"/>
        </w:rPr>
        <w:t xml:space="preserve"> 3</w:t>
      </w:r>
      <w:r w:rsidR="004A14BA">
        <w:rPr>
          <w:lang w:val="en-GB" w:eastAsia="ja-JP"/>
        </w:rPr>
        <w:t xml:space="preserve"> port SRS resource is not necessary as the 4 port </w:t>
      </w:r>
      <w:r w:rsidR="007C4B3C">
        <w:rPr>
          <w:lang w:val="en-GB" w:eastAsia="ja-JP"/>
        </w:rPr>
        <w:t>SRS</w:t>
      </w:r>
      <w:r w:rsidR="004A14BA">
        <w:rPr>
          <w:lang w:val="en-GB" w:eastAsia="ja-JP"/>
        </w:rPr>
        <w:t xml:space="preserve"> resource can be re-used. This avoids a significant standardization </w:t>
      </w:r>
      <w:r w:rsidR="00F223CC">
        <w:rPr>
          <w:lang w:val="en-GB" w:eastAsia="ja-JP"/>
        </w:rPr>
        <w:t xml:space="preserve">effort. </w:t>
      </w:r>
    </w:p>
    <w:p w14:paraId="6DF62270" w14:textId="59F5550E" w:rsidR="0049234D" w:rsidRDefault="0049234D" w:rsidP="0049234D">
      <w:pPr>
        <w:pStyle w:val="Heading2"/>
      </w:pPr>
      <w:r>
        <w:t>2.5 Item 5 on support for decoupled DL and UL</w:t>
      </w:r>
    </w:p>
    <w:p w14:paraId="4AA9B2DC" w14:textId="7D126A1B" w:rsidR="00D6716F" w:rsidRDefault="00D6716F" w:rsidP="00D6716F">
      <w:pPr>
        <w:jc w:val="both"/>
        <w:rPr>
          <w:lang w:val="en-GB" w:eastAsia="ja-JP"/>
        </w:rPr>
      </w:pPr>
      <w:r>
        <w:rPr>
          <w:lang w:val="en-GB" w:eastAsia="ja-JP"/>
        </w:rPr>
        <w:t xml:space="preserve">UL performance is becoming a bottleneck mainly due to the reason that the UE has lower transmit power and fewer transmit antennas, and the widespread commercial network uses DL-heavy TDD patterns. One solution to improve UL performance is densification of network deployment. To simplify densification, </w:t>
      </w:r>
      <w:r w:rsidRPr="009B37DA">
        <w:rPr>
          <w:i/>
          <w:iCs/>
          <w:lang w:val="en-GB" w:eastAsia="ja-JP"/>
        </w:rPr>
        <w:t>UL-only</w:t>
      </w:r>
      <w:r>
        <w:rPr>
          <w:lang w:val="en-GB" w:eastAsia="ja-JP"/>
        </w:rPr>
        <w:t xml:space="preserve"> nodes have been proposed. </w:t>
      </w:r>
      <w:r w:rsidR="00F605AE">
        <w:rPr>
          <w:lang w:val="en-GB" w:eastAsia="ja-JP"/>
        </w:rPr>
        <w:t xml:space="preserve">An UL-node could be designed without any hardware for DL transmission, potentially reducing the cost of the node. Alternatively, the node </w:t>
      </w:r>
      <w:r w:rsidR="00D66DEE">
        <w:rPr>
          <w:lang w:val="en-GB" w:eastAsia="ja-JP"/>
        </w:rPr>
        <w:t xml:space="preserve">may serve as an UL only node from the UE’s perspective, i.e. </w:t>
      </w:r>
      <w:r w:rsidR="00F605AE">
        <w:rPr>
          <w:lang w:val="en-GB" w:eastAsia="ja-JP"/>
        </w:rPr>
        <w:t xml:space="preserve">the </w:t>
      </w:r>
      <w:proofErr w:type="gramStart"/>
      <w:r w:rsidR="00F605AE">
        <w:rPr>
          <w:lang w:val="en-GB" w:eastAsia="ja-JP"/>
        </w:rPr>
        <w:t xml:space="preserve">node </w:t>
      </w:r>
      <w:r w:rsidR="00D66DEE">
        <w:rPr>
          <w:lang w:val="en-GB" w:eastAsia="ja-JP"/>
        </w:rPr>
        <w:t xml:space="preserve"> </w:t>
      </w:r>
      <w:r w:rsidR="009908F9">
        <w:rPr>
          <w:lang w:val="en-GB" w:eastAsia="ja-JP"/>
        </w:rPr>
        <w:t>transmits</w:t>
      </w:r>
      <w:proofErr w:type="gramEnd"/>
      <w:r w:rsidR="009908F9">
        <w:rPr>
          <w:lang w:val="en-GB" w:eastAsia="ja-JP"/>
        </w:rPr>
        <w:t xml:space="preserve"> DL signals to serve other UEs. In the latter case, UL coverage would be </w:t>
      </w:r>
      <w:r w:rsidR="00F605AE">
        <w:rPr>
          <w:lang w:val="en-GB" w:eastAsia="ja-JP"/>
        </w:rPr>
        <w:t>enhanced</w:t>
      </w:r>
      <w:r w:rsidR="009908F9">
        <w:rPr>
          <w:lang w:val="en-GB" w:eastAsia="ja-JP"/>
        </w:rPr>
        <w:t xml:space="preserve">, </w:t>
      </w:r>
      <w:proofErr w:type="gramStart"/>
      <w:r w:rsidR="009908F9">
        <w:rPr>
          <w:lang w:val="en-GB" w:eastAsia="ja-JP"/>
        </w:rPr>
        <w:t>similar to</w:t>
      </w:r>
      <w:proofErr w:type="gramEnd"/>
      <w:r w:rsidR="009908F9">
        <w:rPr>
          <w:lang w:val="en-GB" w:eastAsia="ja-JP"/>
        </w:rPr>
        <w:t xml:space="preserve"> </w:t>
      </w:r>
      <w:r w:rsidR="00F605AE">
        <w:rPr>
          <w:lang w:val="en-GB" w:eastAsia="ja-JP"/>
        </w:rPr>
        <w:t xml:space="preserve">the </w:t>
      </w:r>
      <w:r w:rsidR="009908F9">
        <w:rPr>
          <w:lang w:val="en-GB" w:eastAsia="ja-JP"/>
        </w:rPr>
        <w:t>heterogeneous network deployments discussed extensiv</w:t>
      </w:r>
      <w:r w:rsidR="00EC572E">
        <w:rPr>
          <w:lang w:val="en-GB" w:eastAsia="ja-JP"/>
        </w:rPr>
        <w:t>ely</w:t>
      </w:r>
      <w:r w:rsidR="009908F9">
        <w:rPr>
          <w:lang w:val="en-GB" w:eastAsia="ja-JP"/>
        </w:rPr>
        <w:t xml:space="preserve"> in LTE. </w:t>
      </w:r>
    </w:p>
    <w:p w14:paraId="4D7F7DDA" w14:textId="4F50286F" w:rsidR="00D6716F" w:rsidRDefault="00DC5C4A" w:rsidP="002448A1">
      <w:pPr>
        <w:jc w:val="both"/>
        <w:rPr>
          <w:lang w:val="en-GB"/>
        </w:rPr>
      </w:pPr>
      <w:r>
        <w:rPr>
          <w:lang w:val="en-GB" w:eastAsia="ja-JP"/>
        </w:rPr>
        <w:t>Notable is</w:t>
      </w:r>
      <w:r w:rsidR="00D6716F">
        <w:rPr>
          <w:lang w:val="en-GB" w:eastAsia="ja-JP"/>
        </w:rPr>
        <w:t xml:space="preserve"> that UL-only nodes may be deployed without changing the standard</w:t>
      </w:r>
      <w:r>
        <w:rPr>
          <w:lang w:val="en-GB" w:eastAsia="ja-JP"/>
        </w:rPr>
        <w:t xml:space="preserve"> (but likely with suboptimal performance)</w:t>
      </w:r>
      <w:r w:rsidR="00D6716F">
        <w:rPr>
          <w:lang w:val="en-GB" w:eastAsia="ja-JP"/>
        </w:rPr>
        <w:t xml:space="preserve"> </w:t>
      </w:r>
      <w:r>
        <w:rPr>
          <w:lang w:val="en-GB" w:eastAsia="ja-JP"/>
        </w:rPr>
        <w:t xml:space="preserve">since </w:t>
      </w:r>
      <w:r w:rsidR="00D6716F">
        <w:rPr>
          <w:lang w:val="en-GB" w:eastAsia="ja-JP"/>
        </w:rPr>
        <w:t xml:space="preserve">there is nothing that prevents the NW deploying nodes without DL transmissions. The UL reception in such nodes would </w:t>
      </w:r>
      <w:r w:rsidR="00F5316D">
        <w:rPr>
          <w:lang w:val="en-GB" w:eastAsia="ja-JP"/>
        </w:rPr>
        <w:t xml:space="preserve">assume the </w:t>
      </w:r>
      <w:r w:rsidR="00D6716F">
        <w:rPr>
          <w:lang w:val="en-GB" w:eastAsia="ja-JP"/>
        </w:rPr>
        <w:t xml:space="preserve">power control and timing advance </w:t>
      </w:r>
      <w:r w:rsidR="00F5316D">
        <w:rPr>
          <w:lang w:val="en-GB" w:eastAsia="ja-JP"/>
        </w:rPr>
        <w:t>to be</w:t>
      </w:r>
      <w:r w:rsidR="00D6716F">
        <w:rPr>
          <w:lang w:val="en-GB" w:eastAsia="ja-JP"/>
        </w:rPr>
        <w:t xml:space="preserve"> performed with respect to </w:t>
      </w:r>
      <w:r w:rsidR="00D6716F">
        <w:rPr>
          <w:lang w:val="en-GB" w:eastAsia="ja-JP"/>
        </w:rPr>
        <w:lastRenderedPageBreak/>
        <w:t>the DL node</w:t>
      </w:r>
      <w:r w:rsidR="002448A1">
        <w:rPr>
          <w:lang w:val="en-GB" w:eastAsia="ja-JP"/>
        </w:rPr>
        <w:t>.</w:t>
      </w:r>
      <w:r w:rsidR="004C5AFF">
        <w:rPr>
          <w:lang w:val="en-GB" w:eastAsia="ja-JP"/>
        </w:rPr>
        <w:t xml:space="preserve"> Hence, there would be a limit on the maximal supported </w:t>
      </w:r>
      <w:r w:rsidR="00F761F2">
        <w:rPr>
          <w:lang w:val="en-GB" w:eastAsia="ja-JP"/>
        </w:rPr>
        <w:t xml:space="preserve">difference between DL-UE distance and UL-UE </w:t>
      </w:r>
      <w:r w:rsidR="004C5AFF">
        <w:rPr>
          <w:lang w:val="en-GB" w:eastAsia="ja-JP"/>
        </w:rPr>
        <w:t xml:space="preserve">distance for the UE. </w:t>
      </w:r>
    </w:p>
    <w:p w14:paraId="2F0BF920" w14:textId="7CD92A55" w:rsidR="00D6716F" w:rsidRDefault="00D6716F" w:rsidP="00D6716F">
      <w:pPr>
        <w:jc w:val="both"/>
        <w:rPr>
          <w:lang w:val="en-GB"/>
        </w:rPr>
      </w:pPr>
      <w:r>
        <w:rPr>
          <w:lang w:val="en-GB"/>
        </w:rPr>
        <w:t xml:space="preserve">In our understanding, the RAN1 specification efforts to provide an optimized support for UL-only nodes are small. The unified TCI state in Rel-17 provides a good foundation for the required enhancements. </w:t>
      </w:r>
      <w:r w:rsidR="00481DE6">
        <w:rPr>
          <w:lang w:val="en-GB"/>
        </w:rPr>
        <w:t>In the proposal, the</w:t>
      </w:r>
      <w:r>
        <w:rPr>
          <w:lang w:val="en-GB"/>
        </w:rPr>
        <w:t xml:space="preserve"> functionality is based on </w:t>
      </w:r>
      <w:r w:rsidR="00CE517E">
        <w:rPr>
          <w:lang w:val="en-GB"/>
        </w:rPr>
        <w:t>extensions of the unified TCI framework</w:t>
      </w:r>
      <w:r w:rsidR="00FE1328">
        <w:rPr>
          <w:lang w:val="en-GB"/>
        </w:rPr>
        <w:t xml:space="preserve"> </w:t>
      </w:r>
      <w:r w:rsidR="00481DE6">
        <w:rPr>
          <w:lang w:val="en-GB"/>
        </w:rPr>
        <w:t xml:space="preserve">and </w:t>
      </w:r>
      <w:r>
        <w:rPr>
          <w:lang w:val="en-GB"/>
        </w:rPr>
        <w:t xml:space="preserve">the </w:t>
      </w:r>
      <w:r w:rsidR="00481DE6">
        <w:rPr>
          <w:lang w:val="en-GB"/>
        </w:rPr>
        <w:t xml:space="preserve">standardization </w:t>
      </w:r>
      <w:r>
        <w:rPr>
          <w:lang w:val="en-GB"/>
        </w:rPr>
        <w:t xml:space="preserve">effort </w:t>
      </w:r>
      <w:r w:rsidR="00481DE6">
        <w:rPr>
          <w:lang w:val="en-GB"/>
        </w:rPr>
        <w:t xml:space="preserve">is </w:t>
      </w:r>
      <w:r>
        <w:rPr>
          <w:lang w:val="en-GB"/>
        </w:rPr>
        <w:t xml:space="preserve">limited.  </w:t>
      </w:r>
    </w:p>
    <w:p w14:paraId="223B3AD9" w14:textId="378270EA" w:rsidR="00CE517E" w:rsidRDefault="00CE517E" w:rsidP="00D6716F">
      <w:pPr>
        <w:jc w:val="both"/>
        <w:rPr>
          <w:lang w:val="en-GB"/>
        </w:rPr>
      </w:pPr>
      <w:r>
        <w:rPr>
          <w:lang w:val="en-GB"/>
        </w:rPr>
        <w:t xml:space="preserve">We note that the proposal in section 1 is limited to power control. </w:t>
      </w:r>
      <w:r w:rsidR="00096866">
        <w:rPr>
          <w:lang w:val="en-GB"/>
        </w:rPr>
        <w:t>In our view, i</w:t>
      </w:r>
      <w:r>
        <w:rPr>
          <w:lang w:val="en-GB"/>
        </w:rPr>
        <w:t>t would be beneficial to also introduce small enhancements to the TA handling, building on the 2TA feature specified in Rel-18.</w:t>
      </w:r>
    </w:p>
    <w:p w14:paraId="58ACA235" w14:textId="27832AC4" w:rsidR="00C01F33" w:rsidRPr="00E85E60" w:rsidRDefault="00CE517E" w:rsidP="00E85E60">
      <w:pPr>
        <w:jc w:val="both"/>
        <w:rPr>
          <w:lang w:val="en-GB"/>
        </w:rPr>
      </w:pPr>
      <w:r>
        <w:rPr>
          <w:lang w:val="en-GB"/>
        </w:rPr>
        <w:t>I</w:t>
      </w:r>
      <w:r w:rsidR="00D6716F">
        <w:rPr>
          <w:lang w:val="en-GB"/>
        </w:rPr>
        <w:t xml:space="preserve">t is important to avoid any impact on RAN2 (user plane) and RAN3 (intra-RAN signalling). The work must be confined to RAN1, and potentially RAN4.  </w:t>
      </w:r>
    </w:p>
    <w:p w14:paraId="71D79D99" w14:textId="77777777" w:rsidR="00F507D1" w:rsidRPr="00CE0424" w:rsidRDefault="00F507D1" w:rsidP="00CE0424">
      <w:pPr>
        <w:pStyle w:val="Heading1"/>
      </w:pPr>
      <w:bookmarkStart w:id="3" w:name="_In-sequence_SDU_delivery"/>
      <w:bookmarkEnd w:id="3"/>
      <w:r w:rsidRPr="00CE0424">
        <w:t>References</w:t>
      </w:r>
    </w:p>
    <w:p w14:paraId="77C5E852" w14:textId="63B8FECF" w:rsidR="005F3025" w:rsidRDefault="00023C63" w:rsidP="00311702">
      <w:pPr>
        <w:pStyle w:val="Reference"/>
      </w:pPr>
      <w:bookmarkStart w:id="4" w:name="_Ref151537597"/>
      <w:bookmarkStart w:id="5" w:name="_Ref174151459"/>
      <w:bookmarkStart w:id="6" w:name="_Ref189809556"/>
      <w:r w:rsidRPr="00023C63">
        <w:rPr>
          <w:lang w:eastAsia="ja-JP"/>
        </w:rPr>
        <w:t>RP-231748</w:t>
      </w:r>
      <w:r w:rsidR="005F3025" w:rsidRPr="00CE0424">
        <w:t xml:space="preserve">, </w:t>
      </w:r>
      <w:r w:rsidR="00E145CB" w:rsidRPr="00E145CB">
        <w:t>Discussion on Release 19 MIMO enhancements</w:t>
      </w:r>
      <w:r w:rsidR="005F3025" w:rsidRPr="00CE0424">
        <w:t xml:space="preserve">, </w:t>
      </w:r>
      <w:r w:rsidR="00E145CB">
        <w:t>Ericsson</w:t>
      </w:r>
      <w:r w:rsidR="005F3025" w:rsidRPr="00CE0424">
        <w:t>,</w:t>
      </w:r>
      <w:r w:rsidR="00E145CB">
        <w:t xml:space="preserve"> RAN#10</w:t>
      </w:r>
      <w:r w:rsidR="007100FC">
        <w:t>1</w:t>
      </w:r>
      <w:r w:rsidR="00E145CB">
        <w:t xml:space="preserve"> Bangalore, India</w:t>
      </w:r>
      <w:r w:rsidR="00CB3FDC">
        <w:t>, September 2023</w:t>
      </w:r>
      <w:bookmarkEnd w:id="4"/>
    </w:p>
    <w:p w14:paraId="4330A554" w14:textId="4D0C6D0D" w:rsidR="004C7ADA" w:rsidRPr="00CE0424" w:rsidRDefault="004C7ADA" w:rsidP="00311702">
      <w:pPr>
        <w:pStyle w:val="Reference"/>
      </w:pPr>
      <w:bookmarkStart w:id="7" w:name="_Ref152572732"/>
      <w:r>
        <w:t xml:space="preserve">RP-232915, </w:t>
      </w:r>
      <w:r w:rsidR="00E7353C">
        <w:rPr>
          <w:rFonts w:cs="Arial"/>
          <w:color w:val="000000"/>
          <w:sz w:val="18"/>
          <w:szCs w:val="18"/>
        </w:rPr>
        <w:t xml:space="preserve">Proposal for Rel-19 MIMO Objectives, </w:t>
      </w:r>
      <w:r w:rsidR="007463AE">
        <w:rPr>
          <w:rFonts w:cs="Arial"/>
          <w:color w:val="000000"/>
          <w:sz w:val="18"/>
          <w:szCs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w:t>
      </w:r>
      <w:proofErr w:type="spellStart"/>
      <w:r w:rsidR="007463AE">
        <w:rPr>
          <w:rFonts w:cs="Arial"/>
          <w:color w:val="000000"/>
          <w:sz w:val="18"/>
          <w:szCs w:val="18"/>
        </w:rPr>
        <w:t>Ruijie</w:t>
      </w:r>
      <w:proofErr w:type="spellEnd"/>
      <w:r w:rsidR="007463AE">
        <w:rPr>
          <w:rFonts w:cs="Arial"/>
          <w:color w:val="000000"/>
          <w:sz w:val="18"/>
          <w:szCs w:val="18"/>
        </w:rPr>
        <w:t xml:space="preserve"> Networks, Spark, SK Telecom, Telia Company, Telstra, </w:t>
      </w:r>
      <w:proofErr w:type="spellStart"/>
      <w:r w:rsidR="007463AE">
        <w:rPr>
          <w:rFonts w:cs="Arial"/>
          <w:color w:val="000000"/>
          <w:sz w:val="18"/>
          <w:szCs w:val="18"/>
        </w:rPr>
        <w:t>Telus</w:t>
      </w:r>
      <w:proofErr w:type="spellEnd"/>
      <w:r w:rsidR="007463AE">
        <w:rPr>
          <w:rFonts w:cs="Arial"/>
          <w:color w:val="000000"/>
          <w:sz w:val="18"/>
          <w:szCs w:val="18"/>
        </w:rPr>
        <w:t>, T-Mobile USA, Verizon, RAN#102, Edinburgh, Scotland, December 2023.</w:t>
      </w:r>
      <w:bookmarkEnd w:id="7"/>
      <w:r w:rsidR="007463AE">
        <w:rPr>
          <w:rFonts w:cs="Arial"/>
          <w:color w:val="000000"/>
          <w:sz w:val="18"/>
          <w:szCs w:val="18"/>
        </w:rPr>
        <w:t xml:space="preserve"> </w:t>
      </w:r>
    </w:p>
    <w:bookmarkEnd w:id="5"/>
    <w:bookmarkEnd w:id="6"/>
    <w:p w14:paraId="715CA09B"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B019" w14:textId="77777777" w:rsidR="003C21EB" w:rsidRDefault="003C21EB">
      <w:r>
        <w:separator/>
      </w:r>
    </w:p>
  </w:endnote>
  <w:endnote w:type="continuationSeparator" w:id="0">
    <w:p w14:paraId="7F4DF290" w14:textId="77777777" w:rsidR="003C21EB" w:rsidRDefault="003C21EB">
      <w:r>
        <w:continuationSeparator/>
      </w:r>
    </w:p>
  </w:endnote>
  <w:endnote w:type="continuationNotice" w:id="1">
    <w:p w14:paraId="23EA7DB5" w14:textId="77777777" w:rsidR="003C21EB" w:rsidRDefault="003C21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CC35" w14:textId="77777777" w:rsidR="003C21EB" w:rsidRDefault="003C21EB">
      <w:r>
        <w:separator/>
      </w:r>
    </w:p>
  </w:footnote>
  <w:footnote w:type="continuationSeparator" w:id="0">
    <w:p w14:paraId="2CB9B399" w14:textId="77777777" w:rsidR="003C21EB" w:rsidRDefault="003C21EB">
      <w:r>
        <w:continuationSeparator/>
      </w:r>
    </w:p>
  </w:footnote>
  <w:footnote w:type="continuationNotice" w:id="1">
    <w:p w14:paraId="08A3CD8B" w14:textId="77777777" w:rsidR="003C21EB" w:rsidRDefault="003C21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6485B"/>
    <w:multiLevelType w:val="hybridMultilevel"/>
    <w:tmpl w:val="6DC45A22"/>
    <w:lvl w:ilvl="0" w:tplc="0BA64DF6">
      <w:start w:val="1"/>
      <w:numFmt w:val="bullet"/>
      <w:lvlText w:val="●"/>
      <w:lvlJc w:val="left"/>
      <w:pPr>
        <w:tabs>
          <w:tab w:val="num" w:pos="720"/>
        </w:tabs>
        <w:ind w:left="720" w:hanging="360"/>
      </w:pPr>
      <w:rPr>
        <w:rFonts w:ascii="Ericsson Hilda" w:hAnsi="Ericsson Hilda" w:hint="default"/>
      </w:rPr>
    </w:lvl>
    <w:lvl w:ilvl="1" w:tplc="46AA66A0">
      <w:numFmt w:val="bullet"/>
      <w:lvlText w:val="–"/>
      <w:lvlJc w:val="left"/>
      <w:pPr>
        <w:tabs>
          <w:tab w:val="num" w:pos="1440"/>
        </w:tabs>
        <w:ind w:left="1440" w:hanging="360"/>
      </w:pPr>
      <w:rPr>
        <w:rFonts w:ascii="Ericsson Hilda" w:hAnsi="Ericsson Hilda" w:hint="default"/>
      </w:rPr>
    </w:lvl>
    <w:lvl w:ilvl="2" w:tplc="A0F0B49C">
      <w:start w:val="1"/>
      <w:numFmt w:val="bullet"/>
      <w:lvlText w:val="●"/>
      <w:lvlJc w:val="left"/>
      <w:pPr>
        <w:tabs>
          <w:tab w:val="num" w:pos="2160"/>
        </w:tabs>
        <w:ind w:left="2160" w:hanging="360"/>
      </w:pPr>
      <w:rPr>
        <w:rFonts w:ascii="Ericsson Hilda" w:hAnsi="Ericsson Hilda" w:hint="default"/>
      </w:rPr>
    </w:lvl>
    <w:lvl w:ilvl="3" w:tplc="6166ED56">
      <w:start w:val="1"/>
      <w:numFmt w:val="bullet"/>
      <w:lvlText w:val="●"/>
      <w:lvlJc w:val="left"/>
      <w:pPr>
        <w:tabs>
          <w:tab w:val="num" w:pos="2880"/>
        </w:tabs>
        <w:ind w:left="2880" w:hanging="360"/>
      </w:pPr>
      <w:rPr>
        <w:rFonts w:ascii="Ericsson Hilda" w:hAnsi="Ericsson Hilda" w:hint="default"/>
      </w:rPr>
    </w:lvl>
    <w:lvl w:ilvl="4" w:tplc="ABB4A432" w:tentative="1">
      <w:start w:val="1"/>
      <w:numFmt w:val="bullet"/>
      <w:lvlText w:val="●"/>
      <w:lvlJc w:val="left"/>
      <w:pPr>
        <w:tabs>
          <w:tab w:val="num" w:pos="3600"/>
        </w:tabs>
        <w:ind w:left="3600" w:hanging="360"/>
      </w:pPr>
      <w:rPr>
        <w:rFonts w:ascii="Ericsson Hilda" w:hAnsi="Ericsson Hilda" w:hint="default"/>
      </w:rPr>
    </w:lvl>
    <w:lvl w:ilvl="5" w:tplc="C100D7AC" w:tentative="1">
      <w:start w:val="1"/>
      <w:numFmt w:val="bullet"/>
      <w:lvlText w:val="●"/>
      <w:lvlJc w:val="left"/>
      <w:pPr>
        <w:tabs>
          <w:tab w:val="num" w:pos="4320"/>
        </w:tabs>
        <w:ind w:left="4320" w:hanging="360"/>
      </w:pPr>
      <w:rPr>
        <w:rFonts w:ascii="Ericsson Hilda" w:hAnsi="Ericsson Hilda" w:hint="default"/>
      </w:rPr>
    </w:lvl>
    <w:lvl w:ilvl="6" w:tplc="9BD6E180" w:tentative="1">
      <w:start w:val="1"/>
      <w:numFmt w:val="bullet"/>
      <w:lvlText w:val="●"/>
      <w:lvlJc w:val="left"/>
      <w:pPr>
        <w:tabs>
          <w:tab w:val="num" w:pos="5040"/>
        </w:tabs>
        <w:ind w:left="5040" w:hanging="360"/>
      </w:pPr>
      <w:rPr>
        <w:rFonts w:ascii="Ericsson Hilda" w:hAnsi="Ericsson Hilda" w:hint="default"/>
      </w:rPr>
    </w:lvl>
    <w:lvl w:ilvl="7" w:tplc="A0ECE4BC" w:tentative="1">
      <w:start w:val="1"/>
      <w:numFmt w:val="bullet"/>
      <w:lvlText w:val="●"/>
      <w:lvlJc w:val="left"/>
      <w:pPr>
        <w:tabs>
          <w:tab w:val="num" w:pos="5760"/>
        </w:tabs>
        <w:ind w:left="5760" w:hanging="360"/>
      </w:pPr>
      <w:rPr>
        <w:rFonts w:ascii="Ericsson Hilda" w:hAnsi="Ericsson Hilda" w:hint="default"/>
      </w:rPr>
    </w:lvl>
    <w:lvl w:ilvl="8" w:tplc="8A3A409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D5ADB"/>
    <w:multiLevelType w:val="hybridMultilevel"/>
    <w:tmpl w:val="BB02CABC"/>
    <w:lvl w:ilvl="0" w:tplc="20000001">
      <w:start w:val="1"/>
      <w:numFmt w:val="bullet"/>
      <w:lvlText w:val=""/>
      <w:lvlJc w:val="left"/>
      <w:pPr>
        <w:ind w:left="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B347C"/>
    <w:multiLevelType w:val="hybridMultilevel"/>
    <w:tmpl w:val="FC7261AC"/>
    <w:lvl w:ilvl="0" w:tplc="23EC884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643"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B6DAB"/>
    <w:multiLevelType w:val="hybridMultilevel"/>
    <w:tmpl w:val="0606962C"/>
    <w:lvl w:ilvl="0" w:tplc="23EC884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4F3683"/>
    <w:multiLevelType w:val="hybridMultilevel"/>
    <w:tmpl w:val="271002B8"/>
    <w:lvl w:ilvl="0" w:tplc="337A54D4">
      <w:numFmt w:val="bullet"/>
      <w:lvlText w:val="–"/>
      <w:lvlJc w:val="left"/>
      <w:pPr>
        <w:ind w:left="3240" w:hanging="360"/>
      </w:pPr>
      <w:rPr>
        <w:rFonts w:ascii="Ericsson Hilda" w:hAnsi="Ericsson Hilda" w:hint="default"/>
      </w:rPr>
    </w:lvl>
    <w:lvl w:ilvl="1" w:tplc="FFFFFFFF" w:tentative="1">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822C17"/>
    <w:multiLevelType w:val="multilevel"/>
    <w:tmpl w:val="690A0F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2C2663"/>
    <w:multiLevelType w:val="hybridMultilevel"/>
    <w:tmpl w:val="C1C4F7B4"/>
    <w:lvl w:ilvl="0" w:tplc="23EC8844">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148CA"/>
    <w:multiLevelType w:val="hybridMultilevel"/>
    <w:tmpl w:val="5EDC7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9859AD"/>
    <w:multiLevelType w:val="hybridMultilevel"/>
    <w:tmpl w:val="383E1902"/>
    <w:lvl w:ilvl="0" w:tplc="AF3E92DE">
      <w:start w:val="1"/>
      <w:numFmt w:val="bullet"/>
      <w:lvlText w:val="●"/>
      <w:lvlJc w:val="left"/>
      <w:pPr>
        <w:tabs>
          <w:tab w:val="num" w:pos="720"/>
        </w:tabs>
        <w:ind w:left="720" w:hanging="360"/>
      </w:pPr>
      <w:rPr>
        <w:rFonts w:ascii="Ericsson Hilda" w:hAnsi="Ericsson Hilda" w:hint="default"/>
      </w:rPr>
    </w:lvl>
    <w:lvl w:ilvl="1" w:tplc="D6A2C00E" w:tentative="1">
      <w:start w:val="1"/>
      <w:numFmt w:val="bullet"/>
      <w:lvlText w:val="●"/>
      <w:lvlJc w:val="left"/>
      <w:pPr>
        <w:tabs>
          <w:tab w:val="num" w:pos="1440"/>
        </w:tabs>
        <w:ind w:left="1440" w:hanging="360"/>
      </w:pPr>
      <w:rPr>
        <w:rFonts w:ascii="Ericsson Hilda" w:hAnsi="Ericsson Hilda" w:hint="default"/>
      </w:rPr>
    </w:lvl>
    <w:lvl w:ilvl="2" w:tplc="75BC0B9A" w:tentative="1">
      <w:start w:val="1"/>
      <w:numFmt w:val="bullet"/>
      <w:lvlText w:val="●"/>
      <w:lvlJc w:val="left"/>
      <w:pPr>
        <w:tabs>
          <w:tab w:val="num" w:pos="2160"/>
        </w:tabs>
        <w:ind w:left="2160" w:hanging="360"/>
      </w:pPr>
      <w:rPr>
        <w:rFonts w:ascii="Ericsson Hilda" w:hAnsi="Ericsson Hilda" w:hint="default"/>
      </w:rPr>
    </w:lvl>
    <w:lvl w:ilvl="3" w:tplc="85F2361C" w:tentative="1">
      <w:start w:val="1"/>
      <w:numFmt w:val="bullet"/>
      <w:lvlText w:val="●"/>
      <w:lvlJc w:val="left"/>
      <w:pPr>
        <w:tabs>
          <w:tab w:val="num" w:pos="2880"/>
        </w:tabs>
        <w:ind w:left="2880" w:hanging="360"/>
      </w:pPr>
      <w:rPr>
        <w:rFonts w:ascii="Ericsson Hilda" w:hAnsi="Ericsson Hilda" w:hint="default"/>
      </w:rPr>
    </w:lvl>
    <w:lvl w:ilvl="4" w:tplc="1ED679E6" w:tentative="1">
      <w:start w:val="1"/>
      <w:numFmt w:val="bullet"/>
      <w:lvlText w:val="●"/>
      <w:lvlJc w:val="left"/>
      <w:pPr>
        <w:tabs>
          <w:tab w:val="num" w:pos="3600"/>
        </w:tabs>
        <w:ind w:left="3600" w:hanging="360"/>
      </w:pPr>
      <w:rPr>
        <w:rFonts w:ascii="Ericsson Hilda" w:hAnsi="Ericsson Hilda" w:hint="default"/>
      </w:rPr>
    </w:lvl>
    <w:lvl w:ilvl="5" w:tplc="0BF629D4" w:tentative="1">
      <w:start w:val="1"/>
      <w:numFmt w:val="bullet"/>
      <w:lvlText w:val="●"/>
      <w:lvlJc w:val="left"/>
      <w:pPr>
        <w:tabs>
          <w:tab w:val="num" w:pos="4320"/>
        </w:tabs>
        <w:ind w:left="4320" w:hanging="360"/>
      </w:pPr>
      <w:rPr>
        <w:rFonts w:ascii="Ericsson Hilda" w:hAnsi="Ericsson Hilda" w:hint="default"/>
      </w:rPr>
    </w:lvl>
    <w:lvl w:ilvl="6" w:tplc="38125660" w:tentative="1">
      <w:start w:val="1"/>
      <w:numFmt w:val="bullet"/>
      <w:lvlText w:val="●"/>
      <w:lvlJc w:val="left"/>
      <w:pPr>
        <w:tabs>
          <w:tab w:val="num" w:pos="5040"/>
        </w:tabs>
        <w:ind w:left="5040" w:hanging="360"/>
      </w:pPr>
      <w:rPr>
        <w:rFonts w:ascii="Ericsson Hilda" w:hAnsi="Ericsson Hilda" w:hint="default"/>
      </w:rPr>
    </w:lvl>
    <w:lvl w:ilvl="7" w:tplc="F3407E6E" w:tentative="1">
      <w:start w:val="1"/>
      <w:numFmt w:val="bullet"/>
      <w:lvlText w:val="●"/>
      <w:lvlJc w:val="left"/>
      <w:pPr>
        <w:tabs>
          <w:tab w:val="num" w:pos="5760"/>
        </w:tabs>
        <w:ind w:left="5760" w:hanging="360"/>
      </w:pPr>
      <w:rPr>
        <w:rFonts w:ascii="Ericsson Hilda" w:hAnsi="Ericsson Hilda" w:hint="default"/>
      </w:rPr>
    </w:lvl>
    <w:lvl w:ilvl="8" w:tplc="CC683698"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A727474"/>
    <w:multiLevelType w:val="hybridMultilevel"/>
    <w:tmpl w:val="06646F00"/>
    <w:lvl w:ilvl="0" w:tplc="53CC5430">
      <w:start w:val="1"/>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C5F3875"/>
    <w:multiLevelType w:val="hybridMultilevel"/>
    <w:tmpl w:val="19CAA8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D273C6F"/>
    <w:multiLevelType w:val="hybridMultilevel"/>
    <w:tmpl w:val="432C7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212E69"/>
    <w:multiLevelType w:val="hybridMultilevel"/>
    <w:tmpl w:val="57666800"/>
    <w:lvl w:ilvl="0" w:tplc="296439B2">
      <w:start w:val="1"/>
      <w:numFmt w:val="bullet"/>
      <w:lvlText w:val="–"/>
      <w:lvlJc w:val="left"/>
      <w:pPr>
        <w:tabs>
          <w:tab w:val="num" w:pos="720"/>
        </w:tabs>
        <w:ind w:left="720" w:hanging="360"/>
      </w:pPr>
      <w:rPr>
        <w:rFonts w:ascii="Ericsson Hilda" w:hAnsi="Ericsson Hilda" w:hint="default"/>
      </w:rPr>
    </w:lvl>
    <w:lvl w:ilvl="1" w:tplc="D91EEDE4">
      <w:start w:val="1"/>
      <w:numFmt w:val="bullet"/>
      <w:lvlText w:val="–"/>
      <w:lvlJc w:val="left"/>
      <w:pPr>
        <w:tabs>
          <w:tab w:val="num" w:pos="1440"/>
        </w:tabs>
        <w:ind w:left="1440" w:hanging="360"/>
      </w:pPr>
      <w:rPr>
        <w:rFonts w:ascii="Ericsson Hilda" w:hAnsi="Ericsson Hilda" w:hint="default"/>
      </w:rPr>
    </w:lvl>
    <w:lvl w:ilvl="2" w:tplc="0CD498EA">
      <w:numFmt w:val="bullet"/>
      <w:lvlText w:val="●"/>
      <w:lvlJc w:val="left"/>
      <w:pPr>
        <w:tabs>
          <w:tab w:val="num" w:pos="2160"/>
        </w:tabs>
        <w:ind w:left="2160" w:hanging="360"/>
      </w:pPr>
      <w:rPr>
        <w:rFonts w:ascii="Ericsson Hilda" w:hAnsi="Ericsson Hilda" w:hint="default"/>
      </w:rPr>
    </w:lvl>
    <w:lvl w:ilvl="3" w:tplc="DE76086C">
      <w:numFmt w:val="bullet"/>
      <w:lvlText w:val="•"/>
      <w:lvlJc w:val="left"/>
      <w:pPr>
        <w:tabs>
          <w:tab w:val="num" w:pos="2880"/>
        </w:tabs>
        <w:ind w:left="2880" w:hanging="360"/>
      </w:pPr>
      <w:rPr>
        <w:rFonts w:ascii="Arial" w:hAnsi="Arial" w:hint="default"/>
      </w:rPr>
    </w:lvl>
    <w:lvl w:ilvl="4" w:tplc="584CBE7E" w:tentative="1">
      <w:start w:val="1"/>
      <w:numFmt w:val="bullet"/>
      <w:lvlText w:val="–"/>
      <w:lvlJc w:val="left"/>
      <w:pPr>
        <w:tabs>
          <w:tab w:val="num" w:pos="3600"/>
        </w:tabs>
        <w:ind w:left="3600" w:hanging="360"/>
      </w:pPr>
      <w:rPr>
        <w:rFonts w:ascii="Ericsson Hilda" w:hAnsi="Ericsson Hilda" w:hint="default"/>
      </w:rPr>
    </w:lvl>
    <w:lvl w:ilvl="5" w:tplc="5A04DFE4" w:tentative="1">
      <w:start w:val="1"/>
      <w:numFmt w:val="bullet"/>
      <w:lvlText w:val="–"/>
      <w:lvlJc w:val="left"/>
      <w:pPr>
        <w:tabs>
          <w:tab w:val="num" w:pos="4320"/>
        </w:tabs>
        <w:ind w:left="4320" w:hanging="360"/>
      </w:pPr>
      <w:rPr>
        <w:rFonts w:ascii="Ericsson Hilda" w:hAnsi="Ericsson Hilda" w:hint="default"/>
      </w:rPr>
    </w:lvl>
    <w:lvl w:ilvl="6" w:tplc="C606618E" w:tentative="1">
      <w:start w:val="1"/>
      <w:numFmt w:val="bullet"/>
      <w:lvlText w:val="–"/>
      <w:lvlJc w:val="left"/>
      <w:pPr>
        <w:tabs>
          <w:tab w:val="num" w:pos="5040"/>
        </w:tabs>
        <w:ind w:left="5040" w:hanging="360"/>
      </w:pPr>
      <w:rPr>
        <w:rFonts w:ascii="Ericsson Hilda" w:hAnsi="Ericsson Hilda" w:hint="default"/>
      </w:rPr>
    </w:lvl>
    <w:lvl w:ilvl="7" w:tplc="1E9E17D6" w:tentative="1">
      <w:start w:val="1"/>
      <w:numFmt w:val="bullet"/>
      <w:lvlText w:val="–"/>
      <w:lvlJc w:val="left"/>
      <w:pPr>
        <w:tabs>
          <w:tab w:val="num" w:pos="5760"/>
        </w:tabs>
        <w:ind w:left="5760" w:hanging="360"/>
      </w:pPr>
      <w:rPr>
        <w:rFonts w:ascii="Ericsson Hilda" w:hAnsi="Ericsson Hilda" w:hint="default"/>
      </w:rPr>
    </w:lvl>
    <w:lvl w:ilvl="8" w:tplc="F10C1970"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472A34"/>
    <w:multiLevelType w:val="hybridMultilevel"/>
    <w:tmpl w:val="727A33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AB4296D"/>
    <w:multiLevelType w:val="hybridMultilevel"/>
    <w:tmpl w:val="019E5BE0"/>
    <w:lvl w:ilvl="0" w:tplc="346EE1C0">
      <w:start w:val="1"/>
      <w:numFmt w:val="bullet"/>
      <w:lvlText w:val="●"/>
      <w:lvlJc w:val="left"/>
      <w:pPr>
        <w:tabs>
          <w:tab w:val="num" w:pos="720"/>
        </w:tabs>
        <w:ind w:left="720" w:hanging="360"/>
      </w:pPr>
      <w:rPr>
        <w:rFonts w:ascii="Ericsson Hilda" w:hAnsi="Ericsson Hilda" w:hint="default"/>
      </w:rPr>
    </w:lvl>
    <w:lvl w:ilvl="1" w:tplc="36500D6A">
      <w:numFmt w:val="bullet"/>
      <w:lvlText w:val="–"/>
      <w:lvlJc w:val="left"/>
      <w:pPr>
        <w:tabs>
          <w:tab w:val="num" w:pos="1440"/>
        </w:tabs>
        <w:ind w:left="1440" w:hanging="360"/>
      </w:pPr>
      <w:rPr>
        <w:rFonts w:ascii="Ericsson Hilda" w:hAnsi="Ericsson Hilda" w:hint="default"/>
      </w:rPr>
    </w:lvl>
    <w:lvl w:ilvl="2" w:tplc="0FE05446">
      <w:numFmt w:val="bullet"/>
      <w:lvlText w:val="●"/>
      <w:lvlJc w:val="left"/>
      <w:pPr>
        <w:tabs>
          <w:tab w:val="num" w:pos="2160"/>
        </w:tabs>
        <w:ind w:left="2160" w:hanging="360"/>
      </w:pPr>
      <w:rPr>
        <w:rFonts w:ascii="Ericsson Hilda" w:hAnsi="Ericsson Hilda" w:hint="default"/>
      </w:rPr>
    </w:lvl>
    <w:lvl w:ilvl="3" w:tplc="5BF43A00">
      <w:numFmt w:val="bullet"/>
      <w:lvlText w:val="•"/>
      <w:lvlJc w:val="left"/>
      <w:pPr>
        <w:tabs>
          <w:tab w:val="num" w:pos="2880"/>
        </w:tabs>
        <w:ind w:left="2880" w:hanging="360"/>
      </w:pPr>
      <w:rPr>
        <w:rFonts w:ascii="Arial" w:hAnsi="Arial" w:hint="default"/>
      </w:rPr>
    </w:lvl>
    <w:lvl w:ilvl="4" w:tplc="9FBA476E" w:tentative="1">
      <w:start w:val="1"/>
      <w:numFmt w:val="bullet"/>
      <w:lvlText w:val="●"/>
      <w:lvlJc w:val="left"/>
      <w:pPr>
        <w:tabs>
          <w:tab w:val="num" w:pos="3600"/>
        </w:tabs>
        <w:ind w:left="3600" w:hanging="360"/>
      </w:pPr>
      <w:rPr>
        <w:rFonts w:ascii="Ericsson Hilda" w:hAnsi="Ericsson Hilda" w:hint="default"/>
      </w:rPr>
    </w:lvl>
    <w:lvl w:ilvl="5" w:tplc="A218231E" w:tentative="1">
      <w:start w:val="1"/>
      <w:numFmt w:val="bullet"/>
      <w:lvlText w:val="●"/>
      <w:lvlJc w:val="left"/>
      <w:pPr>
        <w:tabs>
          <w:tab w:val="num" w:pos="4320"/>
        </w:tabs>
        <w:ind w:left="4320" w:hanging="360"/>
      </w:pPr>
      <w:rPr>
        <w:rFonts w:ascii="Ericsson Hilda" w:hAnsi="Ericsson Hilda" w:hint="default"/>
      </w:rPr>
    </w:lvl>
    <w:lvl w:ilvl="6" w:tplc="93CEC7A0" w:tentative="1">
      <w:start w:val="1"/>
      <w:numFmt w:val="bullet"/>
      <w:lvlText w:val="●"/>
      <w:lvlJc w:val="left"/>
      <w:pPr>
        <w:tabs>
          <w:tab w:val="num" w:pos="5040"/>
        </w:tabs>
        <w:ind w:left="5040" w:hanging="360"/>
      </w:pPr>
      <w:rPr>
        <w:rFonts w:ascii="Ericsson Hilda" w:hAnsi="Ericsson Hilda" w:hint="default"/>
      </w:rPr>
    </w:lvl>
    <w:lvl w:ilvl="7" w:tplc="F5205D18" w:tentative="1">
      <w:start w:val="1"/>
      <w:numFmt w:val="bullet"/>
      <w:lvlText w:val="●"/>
      <w:lvlJc w:val="left"/>
      <w:pPr>
        <w:tabs>
          <w:tab w:val="num" w:pos="5760"/>
        </w:tabs>
        <w:ind w:left="5760" w:hanging="360"/>
      </w:pPr>
      <w:rPr>
        <w:rFonts w:ascii="Ericsson Hilda" w:hAnsi="Ericsson Hilda" w:hint="default"/>
      </w:rPr>
    </w:lvl>
    <w:lvl w:ilvl="8" w:tplc="F7B6A02C" w:tentative="1">
      <w:start w:val="1"/>
      <w:numFmt w:val="bullet"/>
      <w:lvlText w:val="●"/>
      <w:lvlJc w:val="left"/>
      <w:pPr>
        <w:tabs>
          <w:tab w:val="num" w:pos="6480"/>
        </w:tabs>
        <w:ind w:left="6480" w:hanging="360"/>
      </w:pPr>
      <w:rPr>
        <w:rFonts w:ascii="Ericsson Hilda" w:hAnsi="Ericsson Hilda" w:hint="default"/>
      </w:rPr>
    </w:lvl>
  </w:abstractNum>
  <w:num w:numId="1" w16cid:durableId="435945876">
    <w:abstractNumId w:val="4"/>
  </w:num>
  <w:num w:numId="2" w16cid:durableId="520781292">
    <w:abstractNumId w:val="25"/>
  </w:num>
  <w:num w:numId="3" w16cid:durableId="1052582200">
    <w:abstractNumId w:val="19"/>
  </w:num>
  <w:num w:numId="4" w16cid:durableId="353849201">
    <w:abstractNumId w:val="20"/>
  </w:num>
  <w:num w:numId="5" w16cid:durableId="1175918086">
    <w:abstractNumId w:val="15"/>
  </w:num>
  <w:num w:numId="6" w16cid:durableId="2123844110">
    <w:abstractNumId w:val="23"/>
  </w:num>
  <w:num w:numId="7" w16cid:durableId="581641016">
    <w:abstractNumId w:val="29"/>
  </w:num>
  <w:num w:numId="8" w16cid:durableId="657609309">
    <w:abstractNumId w:val="16"/>
  </w:num>
  <w:num w:numId="9" w16cid:durableId="1366520033">
    <w:abstractNumId w:val="12"/>
  </w:num>
  <w:num w:numId="10" w16cid:durableId="394163831">
    <w:abstractNumId w:val="2"/>
  </w:num>
  <w:num w:numId="11" w16cid:durableId="815489977">
    <w:abstractNumId w:val="1"/>
  </w:num>
  <w:num w:numId="12" w16cid:durableId="802776768">
    <w:abstractNumId w:val="0"/>
  </w:num>
  <w:num w:numId="13" w16cid:durableId="1557155946">
    <w:abstractNumId w:val="27"/>
  </w:num>
  <w:num w:numId="14" w16cid:durableId="1499077581">
    <w:abstractNumId w:val="28"/>
  </w:num>
  <w:num w:numId="15" w16cid:durableId="151483523">
    <w:abstractNumId w:val="21"/>
  </w:num>
  <w:num w:numId="16" w16cid:durableId="1604454418">
    <w:abstractNumId w:val="30"/>
  </w:num>
  <w:num w:numId="17" w16cid:durableId="257566532">
    <w:abstractNumId w:val="9"/>
  </w:num>
  <w:num w:numId="18" w16cid:durableId="435901887">
    <w:abstractNumId w:val="10"/>
  </w:num>
  <w:num w:numId="19" w16cid:durableId="917590447">
    <w:abstractNumId w:val="5"/>
  </w:num>
  <w:num w:numId="20" w16cid:durableId="1753769855">
    <w:abstractNumId w:val="39"/>
  </w:num>
  <w:num w:numId="21" w16cid:durableId="1007633753">
    <w:abstractNumId w:val="17"/>
  </w:num>
  <w:num w:numId="22" w16cid:durableId="1806582289">
    <w:abstractNumId w:val="37"/>
  </w:num>
  <w:num w:numId="23" w16cid:durableId="60760191">
    <w:abstractNumId w:val="35"/>
  </w:num>
  <w:num w:numId="24" w16cid:durableId="1388186051">
    <w:abstractNumId w:val="3"/>
  </w:num>
  <w:num w:numId="25" w16cid:durableId="970326619">
    <w:abstractNumId w:val="14"/>
  </w:num>
  <w:num w:numId="26" w16cid:durableId="497160786">
    <w:abstractNumId w:val="6"/>
  </w:num>
  <w:num w:numId="27" w16cid:durableId="233970894">
    <w:abstractNumId w:val="26"/>
  </w:num>
  <w:num w:numId="28" w16cid:durableId="1744910248">
    <w:abstractNumId w:val="41"/>
  </w:num>
  <w:num w:numId="29" w16cid:durableId="1726024200">
    <w:abstractNumId w:val="36"/>
  </w:num>
  <w:num w:numId="30" w16cid:durableId="244415515">
    <w:abstractNumId w:val="31"/>
  </w:num>
  <w:num w:numId="31" w16cid:durableId="1498032152">
    <w:abstractNumId w:val="33"/>
  </w:num>
  <w:num w:numId="32" w16cid:durableId="1831828021">
    <w:abstractNumId w:val="38"/>
  </w:num>
  <w:num w:numId="33" w16cid:durableId="312412739">
    <w:abstractNumId w:val="22"/>
  </w:num>
  <w:num w:numId="34" w16cid:durableId="1668052865">
    <w:abstractNumId w:val="19"/>
  </w:num>
  <w:num w:numId="35" w16cid:durableId="2063213510">
    <w:abstractNumId w:val="19"/>
  </w:num>
  <w:num w:numId="36" w16cid:durableId="1344674390">
    <w:abstractNumId w:val="19"/>
  </w:num>
  <w:num w:numId="37" w16cid:durableId="17977229">
    <w:abstractNumId w:val="19"/>
  </w:num>
  <w:num w:numId="38" w16cid:durableId="1403061899">
    <w:abstractNumId w:val="7"/>
  </w:num>
  <w:num w:numId="39" w16cid:durableId="902831013">
    <w:abstractNumId w:val="11"/>
  </w:num>
  <w:num w:numId="40" w16cid:durableId="1217549941">
    <w:abstractNumId w:val="8"/>
  </w:num>
  <w:num w:numId="41" w16cid:durableId="662440442">
    <w:abstractNumId w:val="13"/>
  </w:num>
  <w:num w:numId="42" w16cid:durableId="1997101648">
    <w:abstractNumId w:val="34"/>
  </w:num>
  <w:num w:numId="43" w16cid:durableId="114720584">
    <w:abstractNumId w:val="18"/>
  </w:num>
  <w:num w:numId="44" w16cid:durableId="904609778">
    <w:abstractNumId w:val="32"/>
  </w:num>
  <w:num w:numId="45" w16cid:durableId="1682123587">
    <w:abstractNumId w:val="40"/>
  </w:num>
  <w:num w:numId="46" w16cid:durableId="1392074179">
    <w:abstractNumId w:val="24"/>
  </w:num>
  <w:num w:numId="47" w16cid:durableId="665397511">
    <w:abstractNumId w:val="27"/>
    <w:lvlOverride w:ilvl="0">
      <w:startOverride w:val="1"/>
    </w:lvlOverride>
  </w:num>
  <w:num w:numId="48" w16cid:durableId="1040938039">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718F"/>
    <w:rsid w:val="00023C63"/>
    <w:rsid w:val="0002564D"/>
    <w:rsid w:val="00025ECA"/>
    <w:rsid w:val="000325B8"/>
    <w:rsid w:val="00034C15"/>
    <w:rsid w:val="00036BA1"/>
    <w:rsid w:val="000422E2"/>
    <w:rsid w:val="00042F22"/>
    <w:rsid w:val="000444EF"/>
    <w:rsid w:val="00052393"/>
    <w:rsid w:val="00052A07"/>
    <w:rsid w:val="000534E3"/>
    <w:rsid w:val="0005606A"/>
    <w:rsid w:val="00057117"/>
    <w:rsid w:val="0006012C"/>
    <w:rsid w:val="00060CC8"/>
    <w:rsid w:val="000616E7"/>
    <w:rsid w:val="0006487E"/>
    <w:rsid w:val="00065E1A"/>
    <w:rsid w:val="0007272F"/>
    <w:rsid w:val="00077E5F"/>
    <w:rsid w:val="0008036A"/>
    <w:rsid w:val="0008118D"/>
    <w:rsid w:val="00081AE6"/>
    <w:rsid w:val="0008335D"/>
    <w:rsid w:val="000853EC"/>
    <w:rsid w:val="000855EB"/>
    <w:rsid w:val="00085B52"/>
    <w:rsid w:val="000866F2"/>
    <w:rsid w:val="0009009F"/>
    <w:rsid w:val="00091557"/>
    <w:rsid w:val="000924C1"/>
    <w:rsid w:val="000924F0"/>
    <w:rsid w:val="00093474"/>
    <w:rsid w:val="0009510F"/>
    <w:rsid w:val="00096116"/>
    <w:rsid w:val="00096866"/>
    <w:rsid w:val="000A1B7B"/>
    <w:rsid w:val="000A1DAB"/>
    <w:rsid w:val="000A49C1"/>
    <w:rsid w:val="000A56F2"/>
    <w:rsid w:val="000A7803"/>
    <w:rsid w:val="000B2719"/>
    <w:rsid w:val="000B2932"/>
    <w:rsid w:val="000B3A8F"/>
    <w:rsid w:val="000B4AB9"/>
    <w:rsid w:val="000B58C3"/>
    <w:rsid w:val="000B5B31"/>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584"/>
    <w:rsid w:val="00132FD0"/>
    <w:rsid w:val="001330F7"/>
    <w:rsid w:val="001344C0"/>
    <w:rsid w:val="001346FA"/>
    <w:rsid w:val="00135252"/>
    <w:rsid w:val="00135DE3"/>
    <w:rsid w:val="00137AB5"/>
    <w:rsid w:val="00137F0B"/>
    <w:rsid w:val="00142240"/>
    <w:rsid w:val="00151E23"/>
    <w:rsid w:val="001526E0"/>
    <w:rsid w:val="001551B5"/>
    <w:rsid w:val="00165706"/>
    <w:rsid w:val="001659C1"/>
    <w:rsid w:val="00166D65"/>
    <w:rsid w:val="00173A8E"/>
    <w:rsid w:val="0017502C"/>
    <w:rsid w:val="00177822"/>
    <w:rsid w:val="0018143F"/>
    <w:rsid w:val="00181FF8"/>
    <w:rsid w:val="00183A90"/>
    <w:rsid w:val="001906B7"/>
    <w:rsid w:val="00190AC1"/>
    <w:rsid w:val="0019341A"/>
    <w:rsid w:val="00197DF9"/>
    <w:rsid w:val="00197F88"/>
    <w:rsid w:val="001A0E18"/>
    <w:rsid w:val="001A1987"/>
    <w:rsid w:val="001A2564"/>
    <w:rsid w:val="001A6173"/>
    <w:rsid w:val="001A6CBA"/>
    <w:rsid w:val="001B0D97"/>
    <w:rsid w:val="001B5A5D"/>
    <w:rsid w:val="001C1CE5"/>
    <w:rsid w:val="001C307C"/>
    <w:rsid w:val="001C3D2A"/>
    <w:rsid w:val="001C4FBD"/>
    <w:rsid w:val="001D0378"/>
    <w:rsid w:val="001D121B"/>
    <w:rsid w:val="001D51BA"/>
    <w:rsid w:val="001D53E7"/>
    <w:rsid w:val="001D6342"/>
    <w:rsid w:val="001D6D53"/>
    <w:rsid w:val="001E0DDF"/>
    <w:rsid w:val="001E365B"/>
    <w:rsid w:val="001E58E2"/>
    <w:rsid w:val="001E7AED"/>
    <w:rsid w:val="001F3916"/>
    <w:rsid w:val="001F54C5"/>
    <w:rsid w:val="001F662C"/>
    <w:rsid w:val="001F7074"/>
    <w:rsid w:val="001F71F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8A1"/>
    <w:rsid w:val="002458EB"/>
    <w:rsid w:val="002500C8"/>
    <w:rsid w:val="00253DFF"/>
    <w:rsid w:val="00257543"/>
    <w:rsid w:val="002617E7"/>
    <w:rsid w:val="0026201C"/>
    <w:rsid w:val="00264228"/>
    <w:rsid w:val="00264334"/>
    <w:rsid w:val="0026473E"/>
    <w:rsid w:val="00266214"/>
    <w:rsid w:val="00267C83"/>
    <w:rsid w:val="0027144F"/>
    <w:rsid w:val="00271813"/>
    <w:rsid w:val="00271F3A"/>
    <w:rsid w:val="00273278"/>
    <w:rsid w:val="002737F4"/>
    <w:rsid w:val="00275CDF"/>
    <w:rsid w:val="002805F5"/>
    <w:rsid w:val="00280751"/>
    <w:rsid w:val="0028280A"/>
    <w:rsid w:val="00284F38"/>
    <w:rsid w:val="00286ACD"/>
    <w:rsid w:val="00287838"/>
    <w:rsid w:val="002907B5"/>
    <w:rsid w:val="00291474"/>
    <w:rsid w:val="00291DE8"/>
    <w:rsid w:val="00292EB7"/>
    <w:rsid w:val="00294EB4"/>
    <w:rsid w:val="00295276"/>
    <w:rsid w:val="00296227"/>
    <w:rsid w:val="00296F44"/>
    <w:rsid w:val="0029777D"/>
    <w:rsid w:val="002A055E"/>
    <w:rsid w:val="002A13F3"/>
    <w:rsid w:val="002A1D4E"/>
    <w:rsid w:val="002A2869"/>
    <w:rsid w:val="002A578E"/>
    <w:rsid w:val="002A6879"/>
    <w:rsid w:val="002B24D6"/>
    <w:rsid w:val="002B75D9"/>
    <w:rsid w:val="002C41E6"/>
    <w:rsid w:val="002D017C"/>
    <w:rsid w:val="002D071A"/>
    <w:rsid w:val="002D34B2"/>
    <w:rsid w:val="002D48B0"/>
    <w:rsid w:val="002D5B37"/>
    <w:rsid w:val="002D7637"/>
    <w:rsid w:val="002E04F9"/>
    <w:rsid w:val="002E17F2"/>
    <w:rsid w:val="002E7CAE"/>
    <w:rsid w:val="002F0E99"/>
    <w:rsid w:val="002F13E4"/>
    <w:rsid w:val="002F2771"/>
    <w:rsid w:val="002F37A9"/>
    <w:rsid w:val="0030192F"/>
    <w:rsid w:val="00301CE6"/>
    <w:rsid w:val="0030256B"/>
    <w:rsid w:val="00304FC4"/>
    <w:rsid w:val="0030501F"/>
    <w:rsid w:val="00307904"/>
    <w:rsid w:val="00307BA1"/>
    <w:rsid w:val="00311702"/>
    <w:rsid w:val="00311BE2"/>
    <w:rsid w:val="00311E82"/>
    <w:rsid w:val="00313FD6"/>
    <w:rsid w:val="003143BD"/>
    <w:rsid w:val="00315363"/>
    <w:rsid w:val="003203ED"/>
    <w:rsid w:val="00321FE8"/>
    <w:rsid w:val="00322106"/>
    <w:rsid w:val="00322C9F"/>
    <w:rsid w:val="00324B42"/>
    <w:rsid w:val="00324D23"/>
    <w:rsid w:val="003262F0"/>
    <w:rsid w:val="003300BA"/>
    <w:rsid w:val="00331751"/>
    <w:rsid w:val="00333D72"/>
    <w:rsid w:val="00334579"/>
    <w:rsid w:val="00335858"/>
    <w:rsid w:val="00336BDA"/>
    <w:rsid w:val="00342BD7"/>
    <w:rsid w:val="00344757"/>
    <w:rsid w:val="003463EE"/>
    <w:rsid w:val="00346DB5"/>
    <w:rsid w:val="003477B1"/>
    <w:rsid w:val="00347EB8"/>
    <w:rsid w:val="00357380"/>
    <w:rsid w:val="003602D9"/>
    <w:rsid w:val="003604CE"/>
    <w:rsid w:val="003641B2"/>
    <w:rsid w:val="00370E47"/>
    <w:rsid w:val="003742AC"/>
    <w:rsid w:val="00377CE1"/>
    <w:rsid w:val="00383A02"/>
    <w:rsid w:val="00385BF0"/>
    <w:rsid w:val="003939FF"/>
    <w:rsid w:val="00394412"/>
    <w:rsid w:val="003A2223"/>
    <w:rsid w:val="003A2A0F"/>
    <w:rsid w:val="003A45A1"/>
    <w:rsid w:val="003A5B0A"/>
    <w:rsid w:val="003A6BAC"/>
    <w:rsid w:val="003A70A4"/>
    <w:rsid w:val="003A7EF3"/>
    <w:rsid w:val="003B0651"/>
    <w:rsid w:val="003B159C"/>
    <w:rsid w:val="003B369F"/>
    <w:rsid w:val="003B36A3"/>
    <w:rsid w:val="003B64BB"/>
    <w:rsid w:val="003B7FE5"/>
    <w:rsid w:val="003C11C8"/>
    <w:rsid w:val="003C1F58"/>
    <w:rsid w:val="003C21EB"/>
    <w:rsid w:val="003C2702"/>
    <w:rsid w:val="003C56B0"/>
    <w:rsid w:val="003C7806"/>
    <w:rsid w:val="003D109F"/>
    <w:rsid w:val="003D2478"/>
    <w:rsid w:val="003D346E"/>
    <w:rsid w:val="003D3C45"/>
    <w:rsid w:val="003D57DA"/>
    <w:rsid w:val="003D5B1F"/>
    <w:rsid w:val="003E15FA"/>
    <w:rsid w:val="003E55E4"/>
    <w:rsid w:val="003E74E3"/>
    <w:rsid w:val="003F05C7"/>
    <w:rsid w:val="003F2CD4"/>
    <w:rsid w:val="003F6BBE"/>
    <w:rsid w:val="004000E8"/>
    <w:rsid w:val="00401520"/>
    <w:rsid w:val="00402E2B"/>
    <w:rsid w:val="0040512B"/>
    <w:rsid w:val="00405CA5"/>
    <w:rsid w:val="00407A6A"/>
    <w:rsid w:val="00407CD3"/>
    <w:rsid w:val="00410134"/>
    <w:rsid w:val="00410B72"/>
    <w:rsid w:val="00410F18"/>
    <w:rsid w:val="0041263E"/>
    <w:rsid w:val="0041327F"/>
    <w:rsid w:val="00413AAC"/>
    <w:rsid w:val="00413E92"/>
    <w:rsid w:val="00421105"/>
    <w:rsid w:val="00422AA4"/>
    <w:rsid w:val="004242F4"/>
    <w:rsid w:val="0042550E"/>
    <w:rsid w:val="00427248"/>
    <w:rsid w:val="004350EC"/>
    <w:rsid w:val="00437447"/>
    <w:rsid w:val="00441A92"/>
    <w:rsid w:val="004431DC"/>
    <w:rsid w:val="00444D23"/>
    <w:rsid w:val="00444F56"/>
    <w:rsid w:val="00446488"/>
    <w:rsid w:val="00451583"/>
    <w:rsid w:val="004517AA"/>
    <w:rsid w:val="00452CAC"/>
    <w:rsid w:val="00457565"/>
    <w:rsid w:val="00457B71"/>
    <w:rsid w:val="00461F0C"/>
    <w:rsid w:val="00464689"/>
    <w:rsid w:val="004669E2"/>
    <w:rsid w:val="00470C31"/>
    <w:rsid w:val="0047116E"/>
    <w:rsid w:val="00471DE0"/>
    <w:rsid w:val="00473396"/>
    <w:rsid w:val="004734D0"/>
    <w:rsid w:val="0047556B"/>
    <w:rsid w:val="00477768"/>
    <w:rsid w:val="00481DE6"/>
    <w:rsid w:val="0049234D"/>
    <w:rsid w:val="00492BC5"/>
    <w:rsid w:val="00493C9E"/>
    <w:rsid w:val="004964F1"/>
    <w:rsid w:val="004A14BA"/>
    <w:rsid w:val="004A16BC"/>
    <w:rsid w:val="004A2B94"/>
    <w:rsid w:val="004B19AE"/>
    <w:rsid w:val="004B2B8D"/>
    <w:rsid w:val="004B3058"/>
    <w:rsid w:val="004B6F6A"/>
    <w:rsid w:val="004B7C0C"/>
    <w:rsid w:val="004C1676"/>
    <w:rsid w:val="004C3898"/>
    <w:rsid w:val="004C5AFF"/>
    <w:rsid w:val="004C5FB1"/>
    <w:rsid w:val="004C7ADA"/>
    <w:rsid w:val="004D36B1"/>
    <w:rsid w:val="004D7EBD"/>
    <w:rsid w:val="004E2680"/>
    <w:rsid w:val="004E28F9"/>
    <w:rsid w:val="004E462E"/>
    <w:rsid w:val="004E56DC"/>
    <w:rsid w:val="004E610B"/>
    <w:rsid w:val="004E76F4"/>
    <w:rsid w:val="004F02D2"/>
    <w:rsid w:val="004F0B4E"/>
    <w:rsid w:val="004F0B6C"/>
    <w:rsid w:val="004F2078"/>
    <w:rsid w:val="004F2173"/>
    <w:rsid w:val="004F4DA3"/>
    <w:rsid w:val="00505B87"/>
    <w:rsid w:val="00506557"/>
    <w:rsid w:val="0050677A"/>
    <w:rsid w:val="005108D8"/>
    <w:rsid w:val="005116F9"/>
    <w:rsid w:val="00513270"/>
    <w:rsid w:val="005153A7"/>
    <w:rsid w:val="005201AA"/>
    <w:rsid w:val="005219CF"/>
    <w:rsid w:val="00534B59"/>
    <w:rsid w:val="00536759"/>
    <w:rsid w:val="00537C62"/>
    <w:rsid w:val="00546970"/>
    <w:rsid w:val="005526A8"/>
    <w:rsid w:val="00554E19"/>
    <w:rsid w:val="0056121F"/>
    <w:rsid w:val="005674AE"/>
    <w:rsid w:val="00572505"/>
    <w:rsid w:val="005758E5"/>
    <w:rsid w:val="00580A42"/>
    <w:rsid w:val="00582809"/>
    <w:rsid w:val="0058798C"/>
    <w:rsid w:val="005900FA"/>
    <w:rsid w:val="00592D07"/>
    <w:rsid w:val="005935A4"/>
    <w:rsid w:val="005948C2"/>
    <w:rsid w:val="00595DCA"/>
    <w:rsid w:val="0059779B"/>
    <w:rsid w:val="005A209A"/>
    <w:rsid w:val="005A662D"/>
    <w:rsid w:val="005B021F"/>
    <w:rsid w:val="005B04E0"/>
    <w:rsid w:val="005B07B5"/>
    <w:rsid w:val="005B1409"/>
    <w:rsid w:val="005B35D7"/>
    <w:rsid w:val="005B392A"/>
    <w:rsid w:val="005B3AA3"/>
    <w:rsid w:val="005B4630"/>
    <w:rsid w:val="005B6F83"/>
    <w:rsid w:val="005C42CD"/>
    <w:rsid w:val="005C4D10"/>
    <w:rsid w:val="005C5F5A"/>
    <w:rsid w:val="005C74FB"/>
    <w:rsid w:val="005D1602"/>
    <w:rsid w:val="005E385F"/>
    <w:rsid w:val="005E5B81"/>
    <w:rsid w:val="005F2CB1"/>
    <w:rsid w:val="005F3025"/>
    <w:rsid w:val="005F321E"/>
    <w:rsid w:val="005F4DB9"/>
    <w:rsid w:val="005F618C"/>
    <w:rsid w:val="005F70BD"/>
    <w:rsid w:val="0060283C"/>
    <w:rsid w:val="006038A5"/>
    <w:rsid w:val="00604F14"/>
    <w:rsid w:val="00611B83"/>
    <w:rsid w:val="00613257"/>
    <w:rsid w:val="00620A71"/>
    <w:rsid w:val="00620D80"/>
    <w:rsid w:val="006234A6"/>
    <w:rsid w:val="00630001"/>
    <w:rsid w:val="006311B3"/>
    <w:rsid w:val="006320D4"/>
    <w:rsid w:val="0063284C"/>
    <w:rsid w:val="00633D2E"/>
    <w:rsid w:val="00636398"/>
    <w:rsid w:val="006368D3"/>
    <w:rsid w:val="006377EC"/>
    <w:rsid w:val="0064151F"/>
    <w:rsid w:val="00641533"/>
    <w:rsid w:val="0064208D"/>
    <w:rsid w:val="00643475"/>
    <w:rsid w:val="0064396A"/>
    <w:rsid w:val="006439E1"/>
    <w:rsid w:val="0064624E"/>
    <w:rsid w:val="00650AB9"/>
    <w:rsid w:val="00655733"/>
    <w:rsid w:val="00655ACD"/>
    <w:rsid w:val="006560DD"/>
    <w:rsid w:val="00656A92"/>
    <w:rsid w:val="00656CC3"/>
    <w:rsid w:val="00656DDE"/>
    <w:rsid w:val="0065737D"/>
    <w:rsid w:val="0066011D"/>
    <w:rsid w:val="006607C0"/>
    <w:rsid w:val="006613A6"/>
    <w:rsid w:val="006618FD"/>
    <w:rsid w:val="006627A2"/>
    <w:rsid w:val="006634E6"/>
    <w:rsid w:val="006655EE"/>
    <w:rsid w:val="00667EE7"/>
    <w:rsid w:val="00670922"/>
    <w:rsid w:val="00670BE1"/>
    <w:rsid w:val="0067218F"/>
    <w:rsid w:val="00673ACF"/>
    <w:rsid w:val="006741F2"/>
    <w:rsid w:val="00674CC3"/>
    <w:rsid w:val="00675C72"/>
    <w:rsid w:val="006771F9"/>
    <w:rsid w:val="006776D7"/>
    <w:rsid w:val="00680319"/>
    <w:rsid w:val="00681003"/>
    <w:rsid w:val="006817C9"/>
    <w:rsid w:val="00683ECE"/>
    <w:rsid w:val="006854D6"/>
    <w:rsid w:val="00695FC2"/>
    <w:rsid w:val="00696949"/>
    <w:rsid w:val="00697052"/>
    <w:rsid w:val="006A46FB"/>
    <w:rsid w:val="006A5E28"/>
    <w:rsid w:val="006A6418"/>
    <w:rsid w:val="006A697B"/>
    <w:rsid w:val="006A7AFF"/>
    <w:rsid w:val="006B1816"/>
    <w:rsid w:val="006B19C2"/>
    <w:rsid w:val="006B2099"/>
    <w:rsid w:val="006B50CF"/>
    <w:rsid w:val="006C03B8"/>
    <w:rsid w:val="006C5360"/>
    <w:rsid w:val="006C5EC9"/>
    <w:rsid w:val="006C6059"/>
    <w:rsid w:val="006C6B59"/>
    <w:rsid w:val="006C7522"/>
    <w:rsid w:val="006C7890"/>
    <w:rsid w:val="006D6F08"/>
    <w:rsid w:val="006D7693"/>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641F"/>
    <w:rsid w:val="00707072"/>
    <w:rsid w:val="00707D61"/>
    <w:rsid w:val="007100FC"/>
    <w:rsid w:val="00712287"/>
    <w:rsid w:val="00712772"/>
    <w:rsid w:val="00713509"/>
    <w:rsid w:val="007148D3"/>
    <w:rsid w:val="00715B9A"/>
    <w:rsid w:val="00721B32"/>
    <w:rsid w:val="007243E1"/>
    <w:rsid w:val="0072540B"/>
    <w:rsid w:val="007257D0"/>
    <w:rsid w:val="00726EA6"/>
    <w:rsid w:val="00727208"/>
    <w:rsid w:val="00727680"/>
    <w:rsid w:val="007348B1"/>
    <w:rsid w:val="007358BE"/>
    <w:rsid w:val="007362A6"/>
    <w:rsid w:val="00736CF2"/>
    <w:rsid w:val="00736D7D"/>
    <w:rsid w:val="00740E58"/>
    <w:rsid w:val="00744549"/>
    <w:rsid w:val="007445A0"/>
    <w:rsid w:val="0074524B"/>
    <w:rsid w:val="007463AE"/>
    <w:rsid w:val="00747D8B"/>
    <w:rsid w:val="00751228"/>
    <w:rsid w:val="007571E1"/>
    <w:rsid w:val="007604B2"/>
    <w:rsid w:val="00761082"/>
    <w:rsid w:val="00765281"/>
    <w:rsid w:val="00766BAD"/>
    <w:rsid w:val="00767985"/>
    <w:rsid w:val="007729A2"/>
    <w:rsid w:val="00774206"/>
    <w:rsid w:val="007747B3"/>
    <w:rsid w:val="007755F2"/>
    <w:rsid w:val="00776971"/>
    <w:rsid w:val="00780A80"/>
    <w:rsid w:val="0078177E"/>
    <w:rsid w:val="007824D0"/>
    <w:rsid w:val="0078304C"/>
    <w:rsid w:val="00783673"/>
    <w:rsid w:val="00784DEE"/>
    <w:rsid w:val="00785490"/>
    <w:rsid w:val="007925EA"/>
    <w:rsid w:val="00792CE4"/>
    <w:rsid w:val="00793CD8"/>
    <w:rsid w:val="0079438B"/>
    <w:rsid w:val="00794552"/>
    <w:rsid w:val="0079496F"/>
    <w:rsid w:val="007954B9"/>
    <w:rsid w:val="00795C92"/>
    <w:rsid w:val="00796231"/>
    <w:rsid w:val="00797173"/>
    <w:rsid w:val="007A1CB3"/>
    <w:rsid w:val="007A306F"/>
    <w:rsid w:val="007A43A6"/>
    <w:rsid w:val="007A44B6"/>
    <w:rsid w:val="007A58A6"/>
    <w:rsid w:val="007A7611"/>
    <w:rsid w:val="007B23C8"/>
    <w:rsid w:val="007B3D2D"/>
    <w:rsid w:val="007B50AE"/>
    <w:rsid w:val="007B51DF"/>
    <w:rsid w:val="007B7375"/>
    <w:rsid w:val="007C05DD"/>
    <w:rsid w:val="007C3D18"/>
    <w:rsid w:val="007C4B3C"/>
    <w:rsid w:val="007C60BF"/>
    <w:rsid w:val="007C6A07"/>
    <w:rsid w:val="007C75A1"/>
    <w:rsid w:val="007C77A5"/>
    <w:rsid w:val="007C7904"/>
    <w:rsid w:val="007D04E5"/>
    <w:rsid w:val="007D5901"/>
    <w:rsid w:val="007D7526"/>
    <w:rsid w:val="007E0433"/>
    <w:rsid w:val="007E4610"/>
    <w:rsid w:val="007E4715"/>
    <w:rsid w:val="007E505B"/>
    <w:rsid w:val="007E7091"/>
    <w:rsid w:val="007F34B2"/>
    <w:rsid w:val="00803260"/>
    <w:rsid w:val="00803FAE"/>
    <w:rsid w:val="0080605F"/>
    <w:rsid w:val="00807786"/>
    <w:rsid w:val="00811FCB"/>
    <w:rsid w:val="0081282D"/>
    <w:rsid w:val="008158D6"/>
    <w:rsid w:val="00816E1F"/>
    <w:rsid w:val="00817196"/>
    <w:rsid w:val="008235DB"/>
    <w:rsid w:val="00824AB4"/>
    <w:rsid w:val="00825C42"/>
    <w:rsid w:val="00825D25"/>
    <w:rsid w:val="00827D6F"/>
    <w:rsid w:val="0083176D"/>
    <w:rsid w:val="00836F0C"/>
    <w:rsid w:val="008376AC"/>
    <w:rsid w:val="00841994"/>
    <w:rsid w:val="008444E8"/>
    <w:rsid w:val="00844E80"/>
    <w:rsid w:val="00846FE7"/>
    <w:rsid w:val="00856911"/>
    <w:rsid w:val="008677FD"/>
    <w:rsid w:val="008706D4"/>
    <w:rsid w:val="00870F8A"/>
    <w:rsid w:val="008719A4"/>
    <w:rsid w:val="00871D23"/>
    <w:rsid w:val="00872A64"/>
    <w:rsid w:val="00874312"/>
    <w:rsid w:val="0087437C"/>
    <w:rsid w:val="00875CD7"/>
    <w:rsid w:val="00876B4D"/>
    <w:rsid w:val="00877F18"/>
    <w:rsid w:val="00877FF1"/>
    <w:rsid w:val="008835EB"/>
    <w:rsid w:val="00887483"/>
    <w:rsid w:val="008941E3"/>
    <w:rsid w:val="00894A88"/>
    <w:rsid w:val="00895386"/>
    <w:rsid w:val="008A21FF"/>
    <w:rsid w:val="008A2CE2"/>
    <w:rsid w:val="008A30AC"/>
    <w:rsid w:val="008A44B8"/>
    <w:rsid w:val="008A51A8"/>
    <w:rsid w:val="008A54C7"/>
    <w:rsid w:val="008A5B10"/>
    <w:rsid w:val="008A77D8"/>
    <w:rsid w:val="008B0483"/>
    <w:rsid w:val="008B090A"/>
    <w:rsid w:val="008B120C"/>
    <w:rsid w:val="008B3527"/>
    <w:rsid w:val="008B51A0"/>
    <w:rsid w:val="008B592A"/>
    <w:rsid w:val="008B7B5C"/>
    <w:rsid w:val="008C0C99"/>
    <w:rsid w:val="008C2017"/>
    <w:rsid w:val="008C4958"/>
    <w:rsid w:val="008C4BAA"/>
    <w:rsid w:val="008C6AE8"/>
    <w:rsid w:val="008C7573"/>
    <w:rsid w:val="008D00A5"/>
    <w:rsid w:val="008D34F1"/>
    <w:rsid w:val="008D39D8"/>
    <w:rsid w:val="008D6D1A"/>
    <w:rsid w:val="008E03D1"/>
    <w:rsid w:val="008E065E"/>
    <w:rsid w:val="008E0927"/>
    <w:rsid w:val="008E1909"/>
    <w:rsid w:val="008F1C4E"/>
    <w:rsid w:val="008F1EAB"/>
    <w:rsid w:val="008F33DC"/>
    <w:rsid w:val="008F477F"/>
    <w:rsid w:val="008F7647"/>
    <w:rsid w:val="00901AC4"/>
    <w:rsid w:val="00902350"/>
    <w:rsid w:val="0090336B"/>
    <w:rsid w:val="009053AA"/>
    <w:rsid w:val="00906939"/>
    <w:rsid w:val="00910B7D"/>
    <w:rsid w:val="00911DFB"/>
    <w:rsid w:val="009139D9"/>
    <w:rsid w:val="00914AD8"/>
    <w:rsid w:val="00916079"/>
    <w:rsid w:val="00917747"/>
    <w:rsid w:val="00917C85"/>
    <w:rsid w:val="00917CE9"/>
    <w:rsid w:val="0092075B"/>
    <w:rsid w:val="00920BF2"/>
    <w:rsid w:val="00922010"/>
    <w:rsid w:val="0092657C"/>
    <w:rsid w:val="00930D39"/>
    <w:rsid w:val="00931204"/>
    <w:rsid w:val="00931BD9"/>
    <w:rsid w:val="009368F3"/>
    <w:rsid w:val="00941636"/>
    <w:rsid w:val="00942F20"/>
    <w:rsid w:val="00943742"/>
    <w:rsid w:val="00945C05"/>
    <w:rsid w:val="00946945"/>
    <w:rsid w:val="00947454"/>
    <w:rsid w:val="00947713"/>
    <w:rsid w:val="00950DE7"/>
    <w:rsid w:val="00953920"/>
    <w:rsid w:val="00953D47"/>
    <w:rsid w:val="0095681E"/>
    <w:rsid w:val="009572D4"/>
    <w:rsid w:val="00961921"/>
    <w:rsid w:val="0096430A"/>
    <w:rsid w:val="00964342"/>
    <w:rsid w:val="0096554B"/>
    <w:rsid w:val="0096584A"/>
    <w:rsid w:val="00965DE5"/>
    <w:rsid w:val="00971F08"/>
    <w:rsid w:val="0097603D"/>
    <w:rsid w:val="00976949"/>
    <w:rsid w:val="00980477"/>
    <w:rsid w:val="00985253"/>
    <w:rsid w:val="009853B3"/>
    <w:rsid w:val="00990630"/>
    <w:rsid w:val="009908F9"/>
    <w:rsid w:val="00990A36"/>
    <w:rsid w:val="00991761"/>
    <w:rsid w:val="00992383"/>
    <w:rsid w:val="00994DCA"/>
    <w:rsid w:val="00995B69"/>
    <w:rsid w:val="009960EC"/>
    <w:rsid w:val="009970DD"/>
    <w:rsid w:val="009A0FBA"/>
    <w:rsid w:val="009A1601"/>
    <w:rsid w:val="009A3BB6"/>
    <w:rsid w:val="009A462D"/>
    <w:rsid w:val="009A5CBA"/>
    <w:rsid w:val="009B1F30"/>
    <w:rsid w:val="009B3AC2"/>
    <w:rsid w:val="009B3B64"/>
    <w:rsid w:val="009B4DF4"/>
    <w:rsid w:val="009B564E"/>
    <w:rsid w:val="009B7E87"/>
    <w:rsid w:val="009B7FE7"/>
    <w:rsid w:val="009C0169"/>
    <w:rsid w:val="009C01A0"/>
    <w:rsid w:val="009C2280"/>
    <w:rsid w:val="009C28FC"/>
    <w:rsid w:val="009C403E"/>
    <w:rsid w:val="009C5B23"/>
    <w:rsid w:val="009D0239"/>
    <w:rsid w:val="009D4FF0"/>
    <w:rsid w:val="009D6B1D"/>
    <w:rsid w:val="009D703C"/>
    <w:rsid w:val="009D718F"/>
    <w:rsid w:val="009E068F"/>
    <w:rsid w:val="009E14E0"/>
    <w:rsid w:val="009E2BDB"/>
    <w:rsid w:val="009E35DB"/>
    <w:rsid w:val="009E47A3"/>
    <w:rsid w:val="009F08F3"/>
    <w:rsid w:val="009F344F"/>
    <w:rsid w:val="009F36E8"/>
    <w:rsid w:val="00A031D8"/>
    <w:rsid w:val="00A048A8"/>
    <w:rsid w:val="00A04F49"/>
    <w:rsid w:val="00A10B88"/>
    <w:rsid w:val="00A13E54"/>
    <w:rsid w:val="00A17F63"/>
    <w:rsid w:val="00A2193B"/>
    <w:rsid w:val="00A2351A"/>
    <w:rsid w:val="00A264A9"/>
    <w:rsid w:val="00A26DCF"/>
    <w:rsid w:val="00A27785"/>
    <w:rsid w:val="00A27DFE"/>
    <w:rsid w:val="00A30187"/>
    <w:rsid w:val="00A3448A"/>
    <w:rsid w:val="00A351CC"/>
    <w:rsid w:val="00A36297"/>
    <w:rsid w:val="00A41E2B"/>
    <w:rsid w:val="00A45B74"/>
    <w:rsid w:val="00A52E1D"/>
    <w:rsid w:val="00A61499"/>
    <w:rsid w:val="00A629B2"/>
    <w:rsid w:val="00A62A77"/>
    <w:rsid w:val="00A63483"/>
    <w:rsid w:val="00A64D21"/>
    <w:rsid w:val="00A657D7"/>
    <w:rsid w:val="00A660AC"/>
    <w:rsid w:val="00A66AEB"/>
    <w:rsid w:val="00A67E6C"/>
    <w:rsid w:val="00A71B99"/>
    <w:rsid w:val="00A739D0"/>
    <w:rsid w:val="00A739F2"/>
    <w:rsid w:val="00A761D4"/>
    <w:rsid w:val="00A77A22"/>
    <w:rsid w:val="00A77EC4"/>
    <w:rsid w:val="00A800C3"/>
    <w:rsid w:val="00A92879"/>
    <w:rsid w:val="00A9442A"/>
    <w:rsid w:val="00AA016F"/>
    <w:rsid w:val="00AA1ED6"/>
    <w:rsid w:val="00AA51D6"/>
    <w:rsid w:val="00AB0BC8"/>
    <w:rsid w:val="00AB11A1"/>
    <w:rsid w:val="00AB11CA"/>
    <w:rsid w:val="00AB14D9"/>
    <w:rsid w:val="00AB4AB8"/>
    <w:rsid w:val="00AB655E"/>
    <w:rsid w:val="00AC007F"/>
    <w:rsid w:val="00AC019C"/>
    <w:rsid w:val="00AC1467"/>
    <w:rsid w:val="00AC2ECD"/>
    <w:rsid w:val="00AC3119"/>
    <w:rsid w:val="00AC49FB"/>
    <w:rsid w:val="00AC5A10"/>
    <w:rsid w:val="00AD0AA3"/>
    <w:rsid w:val="00AD2ED0"/>
    <w:rsid w:val="00AD3F94"/>
    <w:rsid w:val="00AD4A5A"/>
    <w:rsid w:val="00AE27AC"/>
    <w:rsid w:val="00AE40E0"/>
    <w:rsid w:val="00AE4DBA"/>
    <w:rsid w:val="00AE4F07"/>
    <w:rsid w:val="00AF0481"/>
    <w:rsid w:val="00AF04C4"/>
    <w:rsid w:val="00AF1C5D"/>
    <w:rsid w:val="00AF42D7"/>
    <w:rsid w:val="00AF444F"/>
    <w:rsid w:val="00AF4570"/>
    <w:rsid w:val="00B006FE"/>
    <w:rsid w:val="00B007CB"/>
    <w:rsid w:val="00B02AA9"/>
    <w:rsid w:val="00B02FA3"/>
    <w:rsid w:val="00B05084"/>
    <w:rsid w:val="00B0741E"/>
    <w:rsid w:val="00B104DE"/>
    <w:rsid w:val="00B114F8"/>
    <w:rsid w:val="00B157F9"/>
    <w:rsid w:val="00B20256"/>
    <w:rsid w:val="00B20D09"/>
    <w:rsid w:val="00B2757F"/>
    <w:rsid w:val="00B2763F"/>
    <w:rsid w:val="00B27AAC"/>
    <w:rsid w:val="00B27CD3"/>
    <w:rsid w:val="00B30929"/>
    <w:rsid w:val="00B372AA"/>
    <w:rsid w:val="00B4000C"/>
    <w:rsid w:val="00B40445"/>
    <w:rsid w:val="00B409E0"/>
    <w:rsid w:val="00B41888"/>
    <w:rsid w:val="00B45A52"/>
    <w:rsid w:val="00B46175"/>
    <w:rsid w:val="00B548B7"/>
    <w:rsid w:val="00B561C4"/>
    <w:rsid w:val="00B664C7"/>
    <w:rsid w:val="00B713D8"/>
    <w:rsid w:val="00B739F6"/>
    <w:rsid w:val="00B80F1C"/>
    <w:rsid w:val="00B81A6C"/>
    <w:rsid w:val="00B85DE5"/>
    <w:rsid w:val="00B90F73"/>
    <w:rsid w:val="00B93B59"/>
    <w:rsid w:val="00B9406A"/>
    <w:rsid w:val="00BA2280"/>
    <w:rsid w:val="00BA2A08"/>
    <w:rsid w:val="00BA56D2"/>
    <w:rsid w:val="00BA76E0"/>
    <w:rsid w:val="00BA78AE"/>
    <w:rsid w:val="00BB2A25"/>
    <w:rsid w:val="00BB51E9"/>
    <w:rsid w:val="00BC0E31"/>
    <w:rsid w:val="00BC0FDC"/>
    <w:rsid w:val="00BC3053"/>
    <w:rsid w:val="00BC4D2E"/>
    <w:rsid w:val="00BD48AC"/>
    <w:rsid w:val="00BD5F1A"/>
    <w:rsid w:val="00BE1234"/>
    <w:rsid w:val="00BE2FA6"/>
    <w:rsid w:val="00BE333F"/>
    <w:rsid w:val="00BE7406"/>
    <w:rsid w:val="00BE7603"/>
    <w:rsid w:val="00BF3279"/>
    <w:rsid w:val="00BF74C7"/>
    <w:rsid w:val="00C000A1"/>
    <w:rsid w:val="00C015F1"/>
    <w:rsid w:val="00C01F33"/>
    <w:rsid w:val="00C020D3"/>
    <w:rsid w:val="00C02CC6"/>
    <w:rsid w:val="00C040F7"/>
    <w:rsid w:val="00C044AB"/>
    <w:rsid w:val="00C05706"/>
    <w:rsid w:val="00C07377"/>
    <w:rsid w:val="00C10478"/>
    <w:rsid w:val="00C12107"/>
    <w:rsid w:val="00C12D3C"/>
    <w:rsid w:val="00C14D4B"/>
    <w:rsid w:val="00C154BB"/>
    <w:rsid w:val="00C279B5"/>
    <w:rsid w:val="00C27C45"/>
    <w:rsid w:val="00C3719D"/>
    <w:rsid w:val="00C37CB2"/>
    <w:rsid w:val="00C473A5"/>
    <w:rsid w:val="00C534DF"/>
    <w:rsid w:val="00C54995"/>
    <w:rsid w:val="00C54D41"/>
    <w:rsid w:val="00C60783"/>
    <w:rsid w:val="00C614DC"/>
    <w:rsid w:val="00C64672"/>
    <w:rsid w:val="00C70697"/>
    <w:rsid w:val="00C72093"/>
    <w:rsid w:val="00C72EF4"/>
    <w:rsid w:val="00C744FE"/>
    <w:rsid w:val="00C75D2F"/>
    <w:rsid w:val="00C76134"/>
    <w:rsid w:val="00C767BE"/>
    <w:rsid w:val="00C76E3C"/>
    <w:rsid w:val="00C81568"/>
    <w:rsid w:val="00C83CD6"/>
    <w:rsid w:val="00C87847"/>
    <w:rsid w:val="00C9027A"/>
    <w:rsid w:val="00C9068E"/>
    <w:rsid w:val="00C916A2"/>
    <w:rsid w:val="00C93814"/>
    <w:rsid w:val="00C93C4B"/>
    <w:rsid w:val="00C944AB"/>
    <w:rsid w:val="00C95B40"/>
    <w:rsid w:val="00CA1ED8"/>
    <w:rsid w:val="00CA6564"/>
    <w:rsid w:val="00CB1185"/>
    <w:rsid w:val="00CB1F63"/>
    <w:rsid w:val="00CB3DDC"/>
    <w:rsid w:val="00CB3FDC"/>
    <w:rsid w:val="00CB7170"/>
    <w:rsid w:val="00CC040E"/>
    <w:rsid w:val="00CC111F"/>
    <w:rsid w:val="00CC1EEB"/>
    <w:rsid w:val="00CC2011"/>
    <w:rsid w:val="00CC20BC"/>
    <w:rsid w:val="00CC3EA0"/>
    <w:rsid w:val="00CC4AFB"/>
    <w:rsid w:val="00CC7B45"/>
    <w:rsid w:val="00CD1188"/>
    <w:rsid w:val="00CD2ED1"/>
    <w:rsid w:val="00CD337B"/>
    <w:rsid w:val="00CE0424"/>
    <w:rsid w:val="00CE517E"/>
    <w:rsid w:val="00CE6D22"/>
    <w:rsid w:val="00CE7561"/>
    <w:rsid w:val="00CF1354"/>
    <w:rsid w:val="00CF3B1F"/>
    <w:rsid w:val="00CF3BF6"/>
    <w:rsid w:val="00CF625B"/>
    <w:rsid w:val="00CF687E"/>
    <w:rsid w:val="00D0349B"/>
    <w:rsid w:val="00D037B4"/>
    <w:rsid w:val="00D10249"/>
    <w:rsid w:val="00D115C3"/>
    <w:rsid w:val="00D11897"/>
    <w:rsid w:val="00D13135"/>
    <w:rsid w:val="00D13E4E"/>
    <w:rsid w:val="00D239A7"/>
    <w:rsid w:val="00D23F47"/>
    <w:rsid w:val="00D336D6"/>
    <w:rsid w:val="00D36E71"/>
    <w:rsid w:val="00D37D87"/>
    <w:rsid w:val="00D40B33"/>
    <w:rsid w:val="00D42F76"/>
    <w:rsid w:val="00D4318F"/>
    <w:rsid w:val="00D438BF"/>
    <w:rsid w:val="00D43D5A"/>
    <w:rsid w:val="00D440F8"/>
    <w:rsid w:val="00D52BC5"/>
    <w:rsid w:val="00D546FF"/>
    <w:rsid w:val="00D55AD5"/>
    <w:rsid w:val="00D576CA"/>
    <w:rsid w:val="00D61AF5"/>
    <w:rsid w:val="00D64944"/>
    <w:rsid w:val="00D652B5"/>
    <w:rsid w:val="00D66155"/>
    <w:rsid w:val="00D66DEE"/>
    <w:rsid w:val="00D6716F"/>
    <w:rsid w:val="00D708B0"/>
    <w:rsid w:val="00D74C0C"/>
    <w:rsid w:val="00D77B1D"/>
    <w:rsid w:val="00D8021F"/>
    <w:rsid w:val="00D80383"/>
    <w:rsid w:val="00D823C6"/>
    <w:rsid w:val="00D8327F"/>
    <w:rsid w:val="00D86CA3"/>
    <w:rsid w:val="00D871CE"/>
    <w:rsid w:val="00D9196D"/>
    <w:rsid w:val="00D91F56"/>
    <w:rsid w:val="00D92982"/>
    <w:rsid w:val="00D93886"/>
    <w:rsid w:val="00DA231D"/>
    <w:rsid w:val="00DA305E"/>
    <w:rsid w:val="00DA5417"/>
    <w:rsid w:val="00DA56E8"/>
    <w:rsid w:val="00DB0A9F"/>
    <w:rsid w:val="00DB377D"/>
    <w:rsid w:val="00DB6D78"/>
    <w:rsid w:val="00DC2D36"/>
    <w:rsid w:val="00DC53EF"/>
    <w:rsid w:val="00DC5C4A"/>
    <w:rsid w:val="00DE430A"/>
    <w:rsid w:val="00DE5608"/>
    <w:rsid w:val="00DE58D0"/>
    <w:rsid w:val="00DE654F"/>
    <w:rsid w:val="00DE68BF"/>
    <w:rsid w:val="00DF0B6E"/>
    <w:rsid w:val="00DF15E0"/>
    <w:rsid w:val="00DF37A0"/>
    <w:rsid w:val="00E01A72"/>
    <w:rsid w:val="00E110E7"/>
    <w:rsid w:val="00E11B20"/>
    <w:rsid w:val="00E140A4"/>
    <w:rsid w:val="00E145CB"/>
    <w:rsid w:val="00E17FA2"/>
    <w:rsid w:val="00E22330"/>
    <w:rsid w:val="00E250C6"/>
    <w:rsid w:val="00E26062"/>
    <w:rsid w:val="00E30B5A"/>
    <w:rsid w:val="00E3123D"/>
    <w:rsid w:val="00E31461"/>
    <w:rsid w:val="00E31D43"/>
    <w:rsid w:val="00E32608"/>
    <w:rsid w:val="00E34188"/>
    <w:rsid w:val="00E34B6E"/>
    <w:rsid w:val="00E35559"/>
    <w:rsid w:val="00E3723A"/>
    <w:rsid w:val="00E37860"/>
    <w:rsid w:val="00E446F1"/>
    <w:rsid w:val="00E46886"/>
    <w:rsid w:val="00E47AEF"/>
    <w:rsid w:val="00E521C0"/>
    <w:rsid w:val="00E53B75"/>
    <w:rsid w:val="00E54E3B"/>
    <w:rsid w:val="00E57565"/>
    <w:rsid w:val="00E63838"/>
    <w:rsid w:val="00E64434"/>
    <w:rsid w:val="00E67C51"/>
    <w:rsid w:val="00E72EFC"/>
    <w:rsid w:val="00E7353C"/>
    <w:rsid w:val="00E758EC"/>
    <w:rsid w:val="00E8234C"/>
    <w:rsid w:val="00E83AA9"/>
    <w:rsid w:val="00E83EEE"/>
    <w:rsid w:val="00E85928"/>
    <w:rsid w:val="00E85E60"/>
    <w:rsid w:val="00E87822"/>
    <w:rsid w:val="00E9016B"/>
    <w:rsid w:val="00E90395"/>
    <w:rsid w:val="00E90E49"/>
    <w:rsid w:val="00E9143C"/>
    <w:rsid w:val="00E917F9"/>
    <w:rsid w:val="00E9291C"/>
    <w:rsid w:val="00E93FFE"/>
    <w:rsid w:val="00E94F8A"/>
    <w:rsid w:val="00EA57BA"/>
    <w:rsid w:val="00EA7A41"/>
    <w:rsid w:val="00EB077B"/>
    <w:rsid w:val="00EB1067"/>
    <w:rsid w:val="00EB3C81"/>
    <w:rsid w:val="00EB4EA2"/>
    <w:rsid w:val="00EC111B"/>
    <w:rsid w:val="00EC24D5"/>
    <w:rsid w:val="00EC27C6"/>
    <w:rsid w:val="00EC4207"/>
    <w:rsid w:val="00EC5653"/>
    <w:rsid w:val="00EC572E"/>
    <w:rsid w:val="00EC71CE"/>
    <w:rsid w:val="00ED1006"/>
    <w:rsid w:val="00ED3CDD"/>
    <w:rsid w:val="00EE55DC"/>
    <w:rsid w:val="00EF0948"/>
    <w:rsid w:val="00EF18FE"/>
    <w:rsid w:val="00EF5787"/>
    <w:rsid w:val="00EF5BF4"/>
    <w:rsid w:val="00EF60D0"/>
    <w:rsid w:val="00EF76A6"/>
    <w:rsid w:val="00F0528D"/>
    <w:rsid w:val="00F06C67"/>
    <w:rsid w:val="00F06DFD"/>
    <w:rsid w:val="00F071D1"/>
    <w:rsid w:val="00F07533"/>
    <w:rsid w:val="00F10629"/>
    <w:rsid w:val="00F12929"/>
    <w:rsid w:val="00F15FA5"/>
    <w:rsid w:val="00F2020F"/>
    <w:rsid w:val="00F209B7"/>
    <w:rsid w:val="00F223CC"/>
    <w:rsid w:val="00F2376F"/>
    <w:rsid w:val="00F243D8"/>
    <w:rsid w:val="00F25625"/>
    <w:rsid w:val="00F25F3F"/>
    <w:rsid w:val="00F30828"/>
    <w:rsid w:val="00F313D6"/>
    <w:rsid w:val="00F3352B"/>
    <w:rsid w:val="00F40F0C"/>
    <w:rsid w:val="00F4766C"/>
    <w:rsid w:val="00F5060E"/>
    <w:rsid w:val="00F507D1"/>
    <w:rsid w:val="00F519CE"/>
    <w:rsid w:val="00F51ADA"/>
    <w:rsid w:val="00F5316D"/>
    <w:rsid w:val="00F542B9"/>
    <w:rsid w:val="00F60203"/>
    <w:rsid w:val="00F605AE"/>
    <w:rsid w:val="00F607C5"/>
    <w:rsid w:val="00F60DEA"/>
    <w:rsid w:val="00F6302A"/>
    <w:rsid w:val="00F63950"/>
    <w:rsid w:val="00F64C2B"/>
    <w:rsid w:val="00F64FF3"/>
    <w:rsid w:val="00F651BE"/>
    <w:rsid w:val="00F67F53"/>
    <w:rsid w:val="00F703BE"/>
    <w:rsid w:val="00F71F69"/>
    <w:rsid w:val="00F72B72"/>
    <w:rsid w:val="00F74BB9"/>
    <w:rsid w:val="00F75582"/>
    <w:rsid w:val="00F761F2"/>
    <w:rsid w:val="00F76202"/>
    <w:rsid w:val="00F76EFA"/>
    <w:rsid w:val="00F804BE"/>
    <w:rsid w:val="00F817CE"/>
    <w:rsid w:val="00F8456C"/>
    <w:rsid w:val="00F859D8"/>
    <w:rsid w:val="00F868F5"/>
    <w:rsid w:val="00F9056A"/>
    <w:rsid w:val="00F90F8D"/>
    <w:rsid w:val="00F91C70"/>
    <w:rsid w:val="00F92782"/>
    <w:rsid w:val="00F93AA9"/>
    <w:rsid w:val="00F9525E"/>
    <w:rsid w:val="00F96985"/>
    <w:rsid w:val="00F97838"/>
    <w:rsid w:val="00F97AA2"/>
    <w:rsid w:val="00FA2BB3"/>
    <w:rsid w:val="00FA3518"/>
    <w:rsid w:val="00FA7D0C"/>
    <w:rsid w:val="00FB4C80"/>
    <w:rsid w:val="00FB6A6A"/>
    <w:rsid w:val="00FC0C3F"/>
    <w:rsid w:val="00FC2D1D"/>
    <w:rsid w:val="00FC4BC3"/>
    <w:rsid w:val="00FC7429"/>
    <w:rsid w:val="00FD07F6"/>
    <w:rsid w:val="00FD1EC8"/>
    <w:rsid w:val="00FD47ED"/>
    <w:rsid w:val="00FD74DB"/>
    <w:rsid w:val="00FD7660"/>
    <w:rsid w:val="00FE0655"/>
    <w:rsid w:val="00FE1328"/>
    <w:rsid w:val="00FE2365"/>
    <w:rsid w:val="00FE37D7"/>
    <w:rsid w:val="00FE4C7B"/>
    <w:rsid w:val="00FE7336"/>
    <w:rsid w:val="00FE787C"/>
    <w:rsid w:val="00FF37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324B42"/>
  </w:style>
  <w:style w:type="character" w:styleId="Mention">
    <w:name w:val="Mention"/>
    <w:basedOn w:val="DefaultParagraphFont"/>
    <w:uiPriority w:val="99"/>
    <w:unhideWhenUsed/>
    <w:rsid w:val="00324B42"/>
    <w:rPr>
      <w:color w:val="2B579A"/>
      <w:shd w:val="clear" w:color="auto" w:fill="E6E6E6"/>
    </w:rPr>
  </w:style>
  <w:style w:type="paragraph" w:styleId="Revision">
    <w:name w:val="Revision"/>
    <w:hidden/>
    <w:uiPriority w:val="99"/>
    <w:semiHidden/>
    <w:rsid w:val="00183A90"/>
    <w:rPr>
      <w:rFonts w:ascii="Arial" w:eastAsiaTheme="minorHAnsi" w:hAnsi="Arial" w:cstheme="minorBidi"/>
      <w:szCs w:val="22"/>
      <w:lang w:val="en-US" w:eastAsia="en-US"/>
    </w:rPr>
  </w:style>
  <w:style w:type="character" w:customStyle="1" w:styleId="ProposalChar">
    <w:name w:val="Proposal Char"/>
    <w:basedOn w:val="DefaultParagraphFont"/>
    <w:link w:val="Proposal"/>
    <w:rsid w:val="00183A90"/>
    <w:rPr>
      <w:rFonts w:ascii="Arial" w:eastAsiaTheme="minorHAnsi" w:hAnsi="Arial" w:cstheme="minorBidi"/>
      <w:b/>
      <w:bCs/>
      <w:szCs w:val="22"/>
      <w:lang w:val="en-US" w:eastAsia="zh-CN"/>
    </w:rPr>
  </w:style>
  <w:style w:type="character" w:customStyle="1" w:styleId="TACChar">
    <w:name w:val="TAC Char"/>
    <w:link w:val="TAC"/>
    <w:qFormat/>
    <w:rsid w:val="00183A90"/>
    <w:rPr>
      <w:rFonts w:ascii="Arial" w:eastAsiaTheme="minorHAnsi" w:hAnsi="Arial" w:cstheme="minorBidi"/>
      <w:sz w:val="18"/>
      <w:szCs w:val="22"/>
      <w:lang w:val="x-none" w:eastAsia="x-none"/>
    </w:rPr>
  </w:style>
  <w:style w:type="paragraph" w:styleId="NormalWeb">
    <w:name w:val="Normal (Web)"/>
    <w:basedOn w:val="Normal"/>
    <w:uiPriority w:val="99"/>
    <w:unhideWhenUsed/>
    <w:qFormat/>
    <w:rsid w:val="00872A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872A6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872A6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872A6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872A6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50370">
      <w:bodyDiv w:val="1"/>
      <w:marLeft w:val="0"/>
      <w:marRight w:val="0"/>
      <w:marTop w:val="0"/>
      <w:marBottom w:val="0"/>
      <w:divBdr>
        <w:top w:val="none" w:sz="0" w:space="0" w:color="auto"/>
        <w:left w:val="none" w:sz="0" w:space="0" w:color="auto"/>
        <w:bottom w:val="none" w:sz="0" w:space="0" w:color="auto"/>
        <w:right w:val="none" w:sz="0" w:space="0" w:color="auto"/>
      </w:divBdr>
    </w:div>
    <w:div w:id="884172353">
      <w:bodyDiv w:val="1"/>
      <w:marLeft w:val="0"/>
      <w:marRight w:val="0"/>
      <w:marTop w:val="0"/>
      <w:marBottom w:val="0"/>
      <w:divBdr>
        <w:top w:val="none" w:sz="0" w:space="0" w:color="auto"/>
        <w:left w:val="none" w:sz="0" w:space="0" w:color="auto"/>
        <w:bottom w:val="none" w:sz="0" w:space="0" w:color="auto"/>
        <w:right w:val="none" w:sz="0" w:space="0" w:color="auto"/>
      </w:divBdr>
    </w:div>
    <w:div w:id="1243250221">
      <w:bodyDiv w:val="1"/>
      <w:marLeft w:val="0"/>
      <w:marRight w:val="0"/>
      <w:marTop w:val="0"/>
      <w:marBottom w:val="0"/>
      <w:divBdr>
        <w:top w:val="none" w:sz="0" w:space="0" w:color="auto"/>
        <w:left w:val="none" w:sz="0" w:space="0" w:color="auto"/>
        <w:bottom w:val="none" w:sz="0" w:space="0" w:color="auto"/>
        <w:right w:val="none" w:sz="0" w:space="0" w:color="auto"/>
      </w:divBdr>
    </w:div>
    <w:div w:id="1797524657">
      <w:bodyDiv w:val="1"/>
      <w:marLeft w:val="0"/>
      <w:marRight w:val="0"/>
      <w:marTop w:val="0"/>
      <w:marBottom w:val="0"/>
      <w:divBdr>
        <w:top w:val="none" w:sz="0" w:space="0" w:color="auto"/>
        <w:left w:val="none" w:sz="0" w:space="0" w:color="auto"/>
        <w:bottom w:val="none" w:sz="0" w:space="0" w:color="auto"/>
        <w:right w:val="none" w:sz="0" w:space="0" w:color="auto"/>
      </w:divBdr>
      <w:divsChild>
        <w:div w:id="66611972">
          <w:marLeft w:val="850"/>
          <w:marRight w:val="0"/>
          <w:marTop w:val="160"/>
          <w:marBottom w:val="0"/>
          <w:divBdr>
            <w:top w:val="none" w:sz="0" w:space="0" w:color="auto"/>
            <w:left w:val="none" w:sz="0" w:space="0" w:color="auto"/>
            <w:bottom w:val="none" w:sz="0" w:space="0" w:color="auto"/>
            <w:right w:val="none" w:sz="0" w:space="0" w:color="auto"/>
          </w:divBdr>
        </w:div>
        <w:div w:id="609823394">
          <w:marLeft w:val="1267"/>
          <w:marRight w:val="0"/>
          <w:marTop w:val="160"/>
          <w:marBottom w:val="0"/>
          <w:divBdr>
            <w:top w:val="none" w:sz="0" w:space="0" w:color="auto"/>
            <w:left w:val="none" w:sz="0" w:space="0" w:color="auto"/>
            <w:bottom w:val="none" w:sz="0" w:space="0" w:color="auto"/>
            <w:right w:val="none" w:sz="0" w:space="0" w:color="auto"/>
          </w:divBdr>
        </w:div>
        <w:div w:id="99305238">
          <w:marLeft w:val="1541"/>
          <w:marRight w:val="0"/>
          <w:marTop w:val="160"/>
          <w:marBottom w:val="0"/>
          <w:divBdr>
            <w:top w:val="none" w:sz="0" w:space="0" w:color="auto"/>
            <w:left w:val="none" w:sz="0" w:space="0" w:color="auto"/>
            <w:bottom w:val="none" w:sz="0" w:space="0" w:color="auto"/>
            <w:right w:val="none" w:sz="0" w:space="0" w:color="auto"/>
          </w:divBdr>
        </w:div>
        <w:div w:id="1035042613">
          <w:marLeft w:val="1541"/>
          <w:marRight w:val="0"/>
          <w:marTop w:val="160"/>
          <w:marBottom w:val="0"/>
          <w:divBdr>
            <w:top w:val="none" w:sz="0" w:space="0" w:color="auto"/>
            <w:left w:val="none" w:sz="0" w:space="0" w:color="auto"/>
            <w:bottom w:val="none" w:sz="0" w:space="0" w:color="auto"/>
            <w:right w:val="none" w:sz="0" w:space="0" w:color="auto"/>
          </w:divBdr>
        </w:div>
        <w:div w:id="400905747">
          <w:marLeft w:val="1267"/>
          <w:marRight w:val="0"/>
          <w:marTop w:val="160"/>
          <w:marBottom w:val="0"/>
          <w:divBdr>
            <w:top w:val="none" w:sz="0" w:space="0" w:color="auto"/>
            <w:left w:val="none" w:sz="0" w:space="0" w:color="auto"/>
            <w:bottom w:val="none" w:sz="0" w:space="0" w:color="auto"/>
            <w:right w:val="none" w:sz="0" w:space="0" w:color="auto"/>
          </w:divBdr>
        </w:div>
        <w:div w:id="1220629746">
          <w:marLeft w:val="1699"/>
          <w:marRight w:val="0"/>
          <w:marTop w:val="160"/>
          <w:marBottom w:val="0"/>
          <w:divBdr>
            <w:top w:val="none" w:sz="0" w:space="0" w:color="auto"/>
            <w:left w:val="none" w:sz="0" w:space="0" w:color="auto"/>
            <w:bottom w:val="none" w:sz="0" w:space="0" w:color="auto"/>
            <w:right w:val="none" w:sz="0" w:space="0" w:color="auto"/>
          </w:divBdr>
        </w:div>
        <w:div w:id="301204222">
          <w:marLeft w:val="1728"/>
          <w:marRight w:val="0"/>
          <w:marTop w:val="120"/>
          <w:marBottom w:val="0"/>
          <w:divBdr>
            <w:top w:val="none" w:sz="0" w:space="0" w:color="auto"/>
            <w:left w:val="none" w:sz="0" w:space="0" w:color="auto"/>
            <w:bottom w:val="none" w:sz="0" w:space="0" w:color="auto"/>
            <w:right w:val="none" w:sz="0" w:space="0" w:color="auto"/>
          </w:divBdr>
        </w:div>
        <w:div w:id="1510560197">
          <w:marLeft w:val="850"/>
          <w:marRight w:val="0"/>
          <w:marTop w:val="160"/>
          <w:marBottom w:val="0"/>
          <w:divBdr>
            <w:top w:val="none" w:sz="0" w:space="0" w:color="auto"/>
            <w:left w:val="none" w:sz="0" w:space="0" w:color="auto"/>
            <w:bottom w:val="none" w:sz="0" w:space="0" w:color="auto"/>
            <w:right w:val="none" w:sz="0" w:space="0" w:color="auto"/>
          </w:divBdr>
        </w:div>
        <w:div w:id="38172358">
          <w:marLeft w:val="1699"/>
          <w:marRight w:val="0"/>
          <w:marTop w:val="160"/>
          <w:marBottom w:val="0"/>
          <w:divBdr>
            <w:top w:val="none" w:sz="0" w:space="0" w:color="auto"/>
            <w:left w:val="none" w:sz="0" w:space="0" w:color="auto"/>
            <w:bottom w:val="none" w:sz="0" w:space="0" w:color="auto"/>
            <w:right w:val="none" w:sz="0" w:space="0" w:color="auto"/>
          </w:divBdr>
        </w:div>
        <w:div w:id="260141373">
          <w:marLeft w:val="1728"/>
          <w:marRight w:val="0"/>
          <w:marTop w:val="120"/>
          <w:marBottom w:val="0"/>
          <w:divBdr>
            <w:top w:val="none" w:sz="0" w:space="0" w:color="auto"/>
            <w:left w:val="none" w:sz="0" w:space="0" w:color="auto"/>
            <w:bottom w:val="none" w:sz="0" w:space="0" w:color="auto"/>
            <w:right w:val="none" w:sz="0" w:space="0" w:color="auto"/>
          </w:divBdr>
        </w:div>
        <w:div w:id="68432572">
          <w:marLeft w:val="418"/>
          <w:marRight w:val="0"/>
          <w:marTop w:val="160"/>
          <w:marBottom w:val="0"/>
          <w:divBdr>
            <w:top w:val="none" w:sz="0" w:space="0" w:color="auto"/>
            <w:left w:val="none" w:sz="0" w:space="0" w:color="auto"/>
            <w:bottom w:val="none" w:sz="0" w:space="0" w:color="auto"/>
            <w:right w:val="none" w:sz="0" w:space="0" w:color="auto"/>
          </w:divBdr>
        </w:div>
      </w:divsChild>
    </w:div>
    <w:div w:id="2114010934">
      <w:bodyDiv w:val="1"/>
      <w:marLeft w:val="0"/>
      <w:marRight w:val="0"/>
      <w:marTop w:val="0"/>
      <w:marBottom w:val="0"/>
      <w:divBdr>
        <w:top w:val="none" w:sz="0" w:space="0" w:color="auto"/>
        <w:left w:val="none" w:sz="0" w:space="0" w:color="auto"/>
        <w:bottom w:val="none" w:sz="0" w:space="0" w:color="auto"/>
        <w:right w:val="none" w:sz="0" w:space="0" w:color="auto"/>
      </w:divBdr>
      <w:divsChild>
        <w:div w:id="2013532201">
          <w:marLeft w:val="418"/>
          <w:marRight w:val="0"/>
          <w:marTop w:val="160"/>
          <w:marBottom w:val="0"/>
          <w:divBdr>
            <w:top w:val="none" w:sz="0" w:space="0" w:color="auto"/>
            <w:left w:val="none" w:sz="0" w:space="0" w:color="auto"/>
            <w:bottom w:val="none" w:sz="0" w:space="0" w:color="auto"/>
            <w:right w:val="none" w:sz="0" w:space="0" w:color="auto"/>
          </w:divBdr>
        </w:div>
        <w:div w:id="988746183">
          <w:marLeft w:val="850"/>
          <w:marRight w:val="0"/>
          <w:marTop w:val="160"/>
          <w:marBottom w:val="0"/>
          <w:divBdr>
            <w:top w:val="none" w:sz="0" w:space="0" w:color="auto"/>
            <w:left w:val="none" w:sz="0" w:space="0" w:color="auto"/>
            <w:bottom w:val="none" w:sz="0" w:space="0" w:color="auto"/>
            <w:right w:val="none" w:sz="0" w:space="0" w:color="auto"/>
          </w:divBdr>
        </w:div>
        <w:div w:id="786432523">
          <w:marLeft w:val="418"/>
          <w:marRight w:val="0"/>
          <w:marTop w:val="160"/>
          <w:marBottom w:val="0"/>
          <w:divBdr>
            <w:top w:val="none" w:sz="0" w:space="0" w:color="auto"/>
            <w:left w:val="none" w:sz="0" w:space="0" w:color="auto"/>
            <w:bottom w:val="none" w:sz="0" w:space="0" w:color="auto"/>
            <w:right w:val="none" w:sz="0" w:space="0" w:color="auto"/>
          </w:divBdr>
        </w:div>
        <w:div w:id="1837842105">
          <w:marLeft w:val="418"/>
          <w:marRight w:val="0"/>
          <w:marTop w:val="160"/>
          <w:marBottom w:val="0"/>
          <w:divBdr>
            <w:top w:val="none" w:sz="0" w:space="0" w:color="auto"/>
            <w:left w:val="none" w:sz="0" w:space="0" w:color="auto"/>
            <w:bottom w:val="none" w:sz="0" w:space="0" w:color="auto"/>
            <w:right w:val="none" w:sz="0" w:space="0" w:color="auto"/>
          </w:divBdr>
        </w:div>
        <w:div w:id="1445734697">
          <w:marLeft w:val="850"/>
          <w:marRight w:val="0"/>
          <w:marTop w:val="160"/>
          <w:marBottom w:val="0"/>
          <w:divBdr>
            <w:top w:val="none" w:sz="0" w:space="0" w:color="auto"/>
            <w:left w:val="none" w:sz="0" w:space="0" w:color="auto"/>
            <w:bottom w:val="none" w:sz="0" w:space="0" w:color="auto"/>
            <w:right w:val="none" w:sz="0" w:space="0" w:color="auto"/>
          </w:divBdr>
        </w:div>
        <w:div w:id="1089277157">
          <w:marLeft w:val="1267"/>
          <w:marRight w:val="0"/>
          <w:marTop w:val="160"/>
          <w:marBottom w:val="0"/>
          <w:divBdr>
            <w:top w:val="none" w:sz="0" w:space="0" w:color="auto"/>
            <w:left w:val="none" w:sz="0" w:space="0" w:color="auto"/>
            <w:bottom w:val="none" w:sz="0" w:space="0" w:color="auto"/>
            <w:right w:val="none" w:sz="0" w:space="0" w:color="auto"/>
          </w:divBdr>
        </w:div>
        <w:div w:id="528835707">
          <w:marLeft w:val="1699"/>
          <w:marRight w:val="0"/>
          <w:marTop w:val="160"/>
          <w:marBottom w:val="0"/>
          <w:divBdr>
            <w:top w:val="none" w:sz="0" w:space="0" w:color="auto"/>
            <w:left w:val="none" w:sz="0" w:space="0" w:color="auto"/>
            <w:bottom w:val="none" w:sz="0" w:space="0" w:color="auto"/>
            <w:right w:val="none" w:sz="0" w:space="0" w:color="auto"/>
          </w:divBdr>
        </w:div>
        <w:div w:id="1423066287">
          <w:marLeft w:val="1267"/>
          <w:marRight w:val="0"/>
          <w:marTop w:val="160"/>
          <w:marBottom w:val="0"/>
          <w:divBdr>
            <w:top w:val="none" w:sz="0" w:space="0" w:color="auto"/>
            <w:left w:val="none" w:sz="0" w:space="0" w:color="auto"/>
            <w:bottom w:val="none" w:sz="0" w:space="0" w:color="auto"/>
            <w:right w:val="none" w:sz="0" w:space="0" w:color="auto"/>
          </w:divBdr>
        </w:div>
        <w:div w:id="1617908858">
          <w:marLeft w:val="1541"/>
          <w:marRight w:val="0"/>
          <w:marTop w:val="160"/>
          <w:marBottom w:val="0"/>
          <w:divBdr>
            <w:top w:val="none" w:sz="0" w:space="0" w:color="auto"/>
            <w:left w:val="none" w:sz="0" w:space="0" w:color="auto"/>
            <w:bottom w:val="none" w:sz="0" w:space="0" w:color="auto"/>
            <w:right w:val="none" w:sz="0" w:space="0" w:color="auto"/>
          </w:divBdr>
        </w:div>
      </w:divsChild>
    </w:div>
    <w:div w:id="21444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2023-12-04T08:01:00Z</dcterms:created>
  <dcterms:modified xsi:type="dcterms:W3CDTF">2023-12-04T08:01:00Z</dcterms:modified>
  <cp:category/>
</cp:coreProperties>
</file>